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F8AE1" w14:textId="192F2004" w:rsidR="00512EEC" w:rsidRPr="00893A1D" w:rsidRDefault="00512EEC" w:rsidP="00CB7BCA">
      <w:pPr>
        <w:spacing w:line="288" w:lineRule="auto"/>
        <w:rPr>
          <w:rFonts w:ascii="Garamond" w:hAnsi="Garamond"/>
        </w:rPr>
      </w:pPr>
      <w:r w:rsidRPr="00893A1D">
        <w:rPr>
          <w:rFonts w:ascii="Garamond" w:hAnsi="Garamond"/>
          <w:noProof/>
        </w:rPr>
        <mc:AlternateContent>
          <mc:Choice Requires="wps">
            <w:drawing>
              <wp:anchor distT="0" distB="0" distL="114300" distR="114300" simplePos="0" relativeHeight="251659264" behindDoc="0" locked="0" layoutInCell="1" allowOverlap="1" wp14:anchorId="060A8583" wp14:editId="5CB0A3D1">
                <wp:simplePos x="0" y="0"/>
                <wp:positionH relativeFrom="column">
                  <wp:posOffset>3200400</wp:posOffset>
                </wp:positionH>
                <wp:positionV relativeFrom="paragraph">
                  <wp:posOffset>114300</wp:posOffset>
                </wp:positionV>
                <wp:extent cx="3086100" cy="1714500"/>
                <wp:effectExtent l="0" t="0" r="0" b="12700"/>
                <wp:wrapSquare wrapText="bothSides"/>
                <wp:docPr id="2" name="Text Box 2"/>
                <wp:cNvGraphicFramePr/>
                <a:graphic xmlns:a="http://schemas.openxmlformats.org/drawingml/2006/main">
                  <a:graphicData uri="http://schemas.microsoft.com/office/word/2010/wordprocessingShape">
                    <wps:wsp>
                      <wps:cNvSpPr txBox="1"/>
                      <wps:spPr>
                        <a:xfrm>
                          <a:off x="0" y="0"/>
                          <a:ext cx="3086100" cy="1714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1146AF8"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1 Summerhill Parade</w:t>
                            </w:r>
                          </w:p>
                          <w:p w14:paraId="575855E7"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Sandycove</w:t>
                            </w:r>
                          </w:p>
                          <w:p w14:paraId="72E46664"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 xml:space="preserve">Co Dublin </w:t>
                            </w:r>
                          </w:p>
                          <w:p w14:paraId="3F39049D"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A96 T180</w:t>
                            </w:r>
                          </w:p>
                          <w:p w14:paraId="0972BF4C" w14:textId="77777777" w:rsidR="00512EEC" w:rsidRPr="00CC2C55" w:rsidRDefault="00512EEC" w:rsidP="00512EEC">
                            <w:pPr>
                              <w:rPr>
                                <w:rFonts w:ascii="Avenir Medium" w:eastAsia="Arial Unicode MS" w:hAnsi="Avenir Medium" w:cs="Arial Unicode MS"/>
                                <w:color w:val="009999"/>
                              </w:rPr>
                            </w:pPr>
                          </w:p>
                          <w:p w14:paraId="12218C4C"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01 2937882</w:t>
                            </w:r>
                          </w:p>
                          <w:p w14:paraId="2C0FF03D"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info@treehousepractice.ie</w:t>
                            </w:r>
                          </w:p>
                          <w:p w14:paraId="7A802993" w14:textId="77777777" w:rsidR="00512EEC" w:rsidRDefault="00512EEC" w:rsidP="00512E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0A8583" id="_x0000_t202" coordsize="21600,21600" o:spt="202" path="m,l,21600r21600,l21600,xe">
                <v:stroke joinstyle="miter"/>
                <v:path gradientshapeok="t" o:connecttype="rect"/>
              </v:shapetype>
              <v:shape id="Text Box 2" o:spid="_x0000_s1026" type="#_x0000_t202" style="position:absolute;margin-left:252pt;margin-top:9pt;width:243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" filled="f" stroked="f">
                <v:textbox>
                  <w:txbxContent>
                    <w:p w14:paraId="11146AF8"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1 Summerhill Parade</w:t>
                      </w:r>
                    </w:p>
                    <w:p w14:paraId="575855E7"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Sandycove</w:t>
                      </w:r>
                    </w:p>
                    <w:p w14:paraId="72E46664"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 xml:space="preserve">Co Dublin </w:t>
                      </w:r>
                    </w:p>
                    <w:p w14:paraId="3F39049D"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A96 T180</w:t>
                      </w:r>
                    </w:p>
                    <w:p w14:paraId="0972BF4C" w14:textId="77777777" w:rsidR="00512EEC" w:rsidRPr="00CC2C55" w:rsidRDefault="00512EEC" w:rsidP="00512EEC">
                      <w:pPr>
                        <w:rPr>
                          <w:rFonts w:ascii="Avenir Medium" w:eastAsia="Arial Unicode MS" w:hAnsi="Avenir Medium" w:cs="Arial Unicode MS"/>
                          <w:color w:val="009999"/>
                        </w:rPr>
                      </w:pPr>
                    </w:p>
                    <w:p w14:paraId="12218C4C"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01 2937882</w:t>
                      </w:r>
                    </w:p>
                    <w:p w14:paraId="2C0FF03D" w14:textId="77777777" w:rsidR="00512EEC" w:rsidRPr="00CC2C55" w:rsidRDefault="00512EEC" w:rsidP="00512EEC">
                      <w:pPr>
                        <w:rPr>
                          <w:rFonts w:ascii="Avenir Medium" w:eastAsia="Arial Unicode MS" w:hAnsi="Avenir Medium" w:cs="Arial Unicode MS"/>
                          <w:color w:val="009999"/>
                        </w:rPr>
                      </w:pPr>
                      <w:r w:rsidRPr="00CC2C55">
                        <w:rPr>
                          <w:rFonts w:ascii="Avenir Medium" w:eastAsia="Arial Unicode MS" w:hAnsi="Avenir Medium" w:cs="Arial Unicode MS"/>
                          <w:color w:val="009999"/>
                        </w:rPr>
                        <w:t>info@treehousepractice.ie</w:t>
                      </w:r>
                    </w:p>
                    <w:p w14:paraId="7A802993" w14:textId="77777777" w:rsidR="00512EEC" w:rsidRDefault="00512EEC" w:rsidP="00512EEC"/>
                  </w:txbxContent>
                </v:textbox>
                <w10:wrap type="square"/>
              </v:shape>
            </w:pict>
          </mc:Fallback>
        </mc:AlternateContent>
      </w:r>
      <w:r w:rsidRPr="00893A1D">
        <w:rPr>
          <w:rFonts w:ascii="Garamond" w:hAnsi="Garamond"/>
          <w:noProof/>
        </w:rPr>
        <w:drawing>
          <wp:inline distT="0" distB="0" distL="0" distR="0" wp14:anchorId="7F896FB9" wp14:editId="56901480">
            <wp:extent cx="1709420" cy="1895451"/>
            <wp:effectExtent l="0" t="0" r="0" b="10160"/>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9859" cy="1895937"/>
                    </a:xfrm>
                    <a:prstGeom prst="rect">
                      <a:avLst/>
                    </a:prstGeom>
                    <a:noFill/>
                    <a:ln>
                      <a:noFill/>
                    </a:ln>
                  </pic:spPr>
                </pic:pic>
              </a:graphicData>
            </a:graphic>
          </wp:inline>
        </w:drawing>
      </w:r>
    </w:p>
    <w:p w14:paraId="3FEC007C" w14:textId="77777777" w:rsidR="006E1FD6" w:rsidRPr="00893A1D" w:rsidRDefault="006E1FD6" w:rsidP="00CB7BCA">
      <w:pPr>
        <w:spacing w:line="288" w:lineRule="auto"/>
        <w:rPr>
          <w:rFonts w:ascii="Garamond" w:hAnsi="Garamond"/>
        </w:rPr>
      </w:pPr>
    </w:p>
    <w:p w14:paraId="7C366492" w14:textId="192D01ED" w:rsidR="008C032E" w:rsidRPr="00CC2C55" w:rsidRDefault="00144005" w:rsidP="00CB7BCA">
      <w:pPr>
        <w:spacing w:line="288" w:lineRule="auto"/>
        <w:jc w:val="center"/>
        <w:rPr>
          <w:rFonts w:ascii="Garamond" w:hAnsi="Garamond"/>
          <w:b/>
          <w:bCs/>
          <w:color w:val="009999"/>
        </w:rPr>
      </w:pPr>
      <w:r w:rsidRPr="00CC2C55">
        <w:rPr>
          <w:rFonts w:ascii="Garamond" w:hAnsi="Garamond"/>
          <w:b/>
          <w:bCs/>
          <w:color w:val="009999"/>
        </w:rPr>
        <w:t xml:space="preserve">Developmental trauma training </w:t>
      </w:r>
      <w:r w:rsidR="00CB7BCA" w:rsidRPr="00CC2C55">
        <w:rPr>
          <w:rFonts w:ascii="Garamond" w:hAnsi="Garamond"/>
          <w:b/>
          <w:bCs/>
          <w:color w:val="009999"/>
        </w:rPr>
        <w:t>at Treehouse Practice</w:t>
      </w:r>
    </w:p>
    <w:p w14:paraId="3FF6D86D" w14:textId="69943819" w:rsidR="00144005" w:rsidRPr="00893A1D" w:rsidRDefault="00144005" w:rsidP="00CB7BCA">
      <w:pPr>
        <w:spacing w:line="288" w:lineRule="auto"/>
        <w:rPr>
          <w:rFonts w:ascii="Garamond" w:hAnsi="Garamond"/>
          <w:b/>
          <w:bCs/>
        </w:rPr>
      </w:pPr>
    </w:p>
    <w:p w14:paraId="7639193B" w14:textId="307EBD4C" w:rsidR="00453351" w:rsidRPr="00CC2C55" w:rsidRDefault="00453351" w:rsidP="00CB7BCA">
      <w:pPr>
        <w:spacing w:line="288" w:lineRule="auto"/>
        <w:rPr>
          <w:rFonts w:ascii="Garamond" w:hAnsi="Garamond"/>
          <w:color w:val="009999"/>
        </w:rPr>
      </w:pPr>
      <w:r w:rsidRPr="00CC2C55">
        <w:rPr>
          <w:rFonts w:ascii="Garamond" w:hAnsi="Garamond"/>
          <w:b/>
          <w:bCs/>
          <w:color w:val="009999"/>
        </w:rPr>
        <w:t>Introduction to the training</w:t>
      </w:r>
    </w:p>
    <w:p w14:paraId="0930DBD0" w14:textId="0CB0F802" w:rsidR="00453351" w:rsidRPr="00893A1D" w:rsidRDefault="00A43193" w:rsidP="00CB7BCA">
      <w:pPr>
        <w:spacing w:line="288" w:lineRule="auto"/>
        <w:jc w:val="both"/>
        <w:rPr>
          <w:rFonts w:ascii="Garamond" w:hAnsi="Garamond"/>
        </w:rPr>
      </w:pPr>
      <w:r w:rsidRPr="00893A1D">
        <w:rPr>
          <w:rFonts w:ascii="Garamond" w:hAnsi="Garamond"/>
        </w:rPr>
        <w:t xml:space="preserve">This course will assist professionals in identifying developmental (childhood) trauma and in learning about the </w:t>
      </w:r>
      <w:proofErr w:type="gramStart"/>
      <w:r w:rsidRPr="00893A1D">
        <w:rPr>
          <w:rFonts w:ascii="Garamond" w:hAnsi="Garamond"/>
        </w:rPr>
        <w:t>particular impact</w:t>
      </w:r>
      <w:proofErr w:type="gramEnd"/>
      <w:r w:rsidRPr="00893A1D">
        <w:rPr>
          <w:rFonts w:ascii="Garamond" w:hAnsi="Garamond"/>
        </w:rPr>
        <w:t xml:space="preserve"> of trauma on brain development and relationships. </w:t>
      </w:r>
      <w:r w:rsidR="00453351" w:rsidRPr="00893A1D">
        <w:rPr>
          <w:rFonts w:ascii="Garamond" w:hAnsi="Garamond"/>
        </w:rPr>
        <w:t>This is a unique training</w:t>
      </w:r>
      <w:r w:rsidR="00BA39E1" w:rsidRPr="00893A1D">
        <w:rPr>
          <w:rFonts w:ascii="Garamond" w:hAnsi="Garamond"/>
        </w:rPr>
        <w:t xml:space="preserve"> that integrates, </w:t>
      </w:r>
      <w:r w:rsidR="000F57B4" w:rsidRPr="00893A1D">
        <w:rPr>
          <w:rFonts w:ascii="Garamond" w:hAnsi="Garamond"/>
        </w:rPr>
        <w:t>up to date clinical</w:t>
      </w:r>
      <w:r w:rsidR="00453351" w:rsidRPr="00893A1D">
        <w:rPr>
          <w:rFonts w:ascii="Garamond" w:hAnsi="Garamond"/>
        </w:rPr>
        <w:t xml:space="preserve"> research</w:t>
      </w:r>
      <w:r w:rsidR="00BA39E1" w:rsidRPr="00893A1D">
        <w:rPr>
          <w:rFonts w:ascii="Garamond" w:hAnsi="Garamond"/>
        </w:rPr>
        <w:t>,</w:t>
      </w:r>
      <w:r w:rsidR="00453351" w:rsidRPr="00893A1D">
        <w:rPr>
          <w:rFonts w:ascii="Garamond" w:hAnsi="Garamond"/>
        </w:rPr>
        <w:t xml:space="preserve"> best practice</w:t>
      </w:r>
      <w:r w:rsidR="00BA39E1" w:rsidRPr="00893A1D">
        <w:rPr>
          <w:rFonts w:ascii="Garamond" w:hAnsi="Garamond"/>
        </w:rPr>
        <w:t xml:space="preserve"> </w:t>
      </w:r>
      <w:proofErr w:type="gramStart"/>
      <w:r w:rsidR="00BA39E1" w:rsidRPr="00893A1D">
        <w:rPr>
          <w:rFonts w:ascii="Garamond" w:hAnsi="Garamond"/>
        </w:rPr>
        <w:t>in the area of</w:t>
      </w:r>
      <w:proofErr w:type="gramEnd"/>
      <w:r w:rsidR="00BA39E1" w:rsidRPr="00893A1D">
        <w:rPr>
          <w:rFonts w:ascii="Garamond" w:hAnsi="Garamond"/>
        </w:rPr>
        <w:t xml:space="preserve"> childhood trauma, as well as rich and </w:t>
      </w:r>
      <w:r w:rsidR="000F57B4" w:rsidRPr="00893A1D">
        <w:rPr>
          <w:rFonts w:ascii="Garamond" w:hAnsi="Garamond"/>
        </w:rPr>
        <w:t>in-depth</w:t>
      </w:r>
      <w:r w:rsidR="00BA39E1" w:rsidRPr="00893A1D">
        <w:rPr>
          <w:rFonts w:ascii="Garamond" w:hAnsi="Garamond"/>
        </w:rPr>
        <w:t xml:space="preserve"> clinical experience embedded in the </w:t>
      </w:r>
      <w:r w:rsidR="00453351" w:rsidRPr="00893A1D">
        <w:rPr>
          <w:rFonts w:ascii="Garamond" w:hAnsi="Garamond"/>
        </w:rPr>
        <w:t xml:space="preserve">therapeutic approach </w:t>
      </w:r>
      <w:proofErr w:type="gramStart"/>
      <w:r w:rsidR="00BA39E1" w:rsidRPr="00893A1D">
        <w:rPr>
          <w:rFonts w:ascii="Garamond" w:hAnsi="Garamond"/>
        </w:rPr>
        <w:t xml:space="preserve">of </w:t>
      </w:r>
      <w:r w:rsidR="00453351" w:rsidRPr="00893A1D">
        <w:rPr>
          <w:rFonts w:ascii="Garamond" w:hAnsi="Garamond"/>
        </w:rPr>
        <w:t xml:space="preserve"> the</w:t>
      </w:r>
      <w:proofErr w:type="gramEnd"/>
      <w:r w:rsidR="00453351" w:rsidRPr="00893A1D">
        <w:rPr>
          <w:rFonts w:ascii="Garamond" w:hAnsi="Garamond"/>
        </w:rPr>
        <w:t xml:space="preserve"> multi-disciplinary team at Treehouse Practice.</w:t>
      </w:r>
      <w:r w:rsidRPr="00893A1D">
        <w:rPr>
          <w:rFonts w:ascii="Garamond" w:hAnsi="Garamond"/>
        </w:rPr>
        <w:t xml:space="preserve"> The course aims to offer </w:t>
      </w:r>
      <w:r w:rsidR="00CB7BCA" w:rsidRPr="00893A1D">
        <w:rPr>
          <w:rFonts w:ascii="Garamond" w:hAnsi="Garamond"/>
        </w:rPr>
        <w:t>practical suggestions to support young people who have experienced childhood traum</w:t>
      </w:r>
      <w:r w:rsidR="006E1FD6" w:rsidRPr="00893A1D">
        <w:rPr>
          <w:rFonts w:ascii="Garamond" w:hAnsi="Garamond"/>
        </w:rPr>
        <w:t>a.</w:t>
      </w:r>
      <w:r w:rsidR="000F57B4" w:rsidRPr="00893A1D">
        <w:rPr>
          <w:rFonts w:ascii="Garamond" w:hAnsi="Garamond"/>
        </w:rPr>
        <w:t xml:space="preserve"> The course is delivered by clinicians at Treehouse Practice who are at the heart of </w:t>
      </w:r>
      <w:proofErr w:type="gramStart"/>
      <w:r w:rsidR="000F57B4" w:rsidRPr="00893A1D">
        <w:rPr>
          <w:rFonts w:ascii="Garamond" w:hAnsi="Garamond"/>
        </w:rPr>
        <w:t>front line</w:t>
      </w:r>
      <w:proofErr w:type="gramEnd"/>
      <w:r w:rsidR="000F57B4" w:rsidRPr="00893A1D">
        <w:rPr>
          <w:rFonts w:ascii="Garamond" w:hAnsi="Garamond"/>
        </w:rPr>
        <w:t xml:space="preserve"> practice. This means that the information will involve interaction with case material and worked examples of supporting young people with a history of trauma. </w:t>
      </w:r>
    </w:p>
    <w:p w14:paraId="09B2C198" w14:textId="552B9871" w:rsidR="00512EEC" w:rsidRPr="00893A1D" w:rsidRDefault="00512EEC" w:rsidP="00CB7BCA">
      <w:pPr>
        <w:spacing w:line="288" w:lineRule="auto"/>
        <w:rPr>
          <w:rFonts w:ascii="Garamond" w:hAnsi="Garamond"/>
        </w:rPr>
      </w:pPr>
    </w:p>
    <w:p w14:paraId="214D2867" w14:textId="77777777" w:rsidR="000F57B4" w:rsidRPr="00893A1D" w:rsidRDefault="006E1FD6" w:rsidP="00CB7BCA">
      <w:pPr>
        <w:spacing w:line="288" w:lineRule="auto"/>
        <w:rPr>
          <w:rFonts w:ascii="Garamond" w:hAnsi="Garamond"/>
        </w:rPr>
      </w:pPr>
      <w:r w:rsidRPr="00893A1D">
        <w:rPr>
          <w:rFonts w:ascii="Garamond" w:hAnsi="Garamond"/>
        </w:rPr>
        <w:t xml:space="preserve">The training consists of </w:t>
      </w:r>
      <w:r w:rsidR="000F57B4" w:rsidRPr="00893A1D">
        <w:rPr>
          <w:rFonts w:ascii="Garamond" w:hAnsi="Garamond"/>
        </w:rPr>
        <w:t>6</w:t>
      </w:r>
      <w:r w:rsidRPr="00893A1D">
        <w:rPr>
          <w:rFonts w:ascii="Garamond" w:hAnsi="Garamond"/>
        </w:rPr>
        <w:t xml:space="preserve"> modules, each of which will involve</w:t>
      </w:r>
      <w:r w:rsidR="000F57B4" w:rsidRPr="00893A1D">
        <w:rPr>
          <w:rFonts w:ascii="Garamond" w:hAnsi="Garamond"/>
        </w:rPr>
        <w:t xml:space="preserve"> the following:</w:t>
      </w:r>
    </w:p>
    <w:p w14:paraId="5712DCAA" w14:textId="77777777" w:rsidR="000F57B4" w:rsidRPr="00893A1D" w:rsidRDefault="000F57B4" w:rsidP="000F57B4">
      <w:pPr>
        <w:pStyle w:val="ListParagraph"/>
        <w:numPr>
          <w:ilvl w:val="0"/>
          <w:numId w:val="7"/>
        </w:numPr>
        <w:spacing w:line="288" w:lineRule="auto"/>
        <w:rPr>
          <w:rFonts w:ascii="Garamond" w:hAnsi="Garamond"/>
        </w:rPr>
      </w:pPr>
      <w:r w:rsidRPr="00893A1D">
        <w:rPr>
          <w:rFonts w:ascii="Garamond" w:hAnsi="Garamond"/>
        </w:rPr>
        <w:t>Training presentation on the core aspects of the module; this can be either attended live or watched as a recorded element afterwards</w:t>
      </w:r>
    </w:p>
    <w:p w14:paraId="38E5B9C6" w14:textId="77777777" w:rsidR="000F57B4" w:rsidRPr="00893A1D" w:rsidRDefault="000F57B4" w:rsidP="000F57B4">
      <w:pPr>
        <w:pStyle w:val="ListParagraph"/>
        <w:numPr>
          <w:ilvl w:val="0"/>
          <w:numId w:val="7"/>
        </w:numPr>
        <w:spacing w:line="288" w:lineRule="auto"/>
        <w:rPr>
          <w:rFonts w:ascii="Garamond" w:hAnsi="Garamond"/>
        </w:rPr>
      </w:pPr>
      <w:r w:rsidRPr="00893A1D">
        <w:rPr>
          <w:rFonts w:ascii="Garamond" w:hAnsi="Garamond"/>
        </w:rPr>
        <w:t>Interactive case session, guided by a clinician to support reflection and learning</w:t>
      </w:r>
    </w:p>
    <w:p w14:paraId="022961E0" w14:textId="61C8EE72" w:rsidR="006E1FD6" w:rsidRPr="00893A1D" w:rsidRDefault="000F57B4" w:rsidP="000F57B4">
      <w:pPr>
        <w:pStyle w:val="ListParagraph"/>
        <w:numPr>
          <w:ilvl w:val="0"/>
          <w:numId w:val="7"/>
        </w:numPr>
        <w:spacing w:line="288" w:lineRule="auto"/>
        <w:rPr>
          <w:rFonts w:ascii="Garamond" w:hAnsi="Garamond"/>
        </w:rPr>
      </w:pPr>
      <w:r w:rsidRPr="00893A1D">
        <w:rPr>
          <w:rFonts w:ascii="Garamond" w:hAnsi="Garamond"/>
        </w:rPr>
        <w:t>Approximately 3 hours of self-directed learning involving prescribed readings.</w:t>
      </w:r>
    </w:p>
    <w:p w14:paraId="181152F8" w14:textId="77777777" w:rsidR="000F57B4" w:rsidRPr="00893A1D" w:rsidRDefault="000F57B4" w:rsidP="000F57B4">
      <w:pPr>
        <w:spacing w:line="288" w:lineRule="auto"/>
        <w:rPr>
          <w:rFonts w:ascii="Garamond" w:hAnsi="Garamond"/>
        </w:rPr>
      </w:pPr>
    </w:p>
    <w:p w14:paraId="40B1FC6E" w14:textId="32662F5B" w:rsidR="00F16973" w:rsidRDefault="000F57B4" w:rsidP="00F16973">
      <w:pPr>
        <w:spacing w:line="288" w:lineRule="auto"/>
        <w:rPr>
          <w:rFonts w:ascii="Garamond" w:hAnsi="Garamond"/>
        </w:rPr>
      </w:pPr>
      <w:r w:rsidRPr="00893A1D">
        <w:rPr>
          <w:rFonts w:ascii="Garamond" w:hAnsi="Garamond"/>
        </w:rPr>
        <w:t>Thus, participants should be prepared to devote 5-6 hours per month to each module.</w:t>
      </w:r>
    </w:p>
    <w:p w14:paraId="72A36493" w14:textId="77777777" w:rsidR="00F16973" w:rsidRPr="00F16973" w:rsidRDefault="00F16973" w:rsidP="00F16973">
      <w:pPr>
        <w:spacing w:line="288" w:lineRule="auto"/>
        <w:rPr>
          <w:rFonts w:ascii="Garamond" w:hAnsi="Garamond"/>
        </w:rPr>
      </w:pPr>
    </w:p>
    <w:p w14:paraId="05F74A41" w14:textId="201A6FB8" w:rsidR="00F16973" w:rsidRDefault="00F16973" w:rsidP="00F16973">
      <w:pPr>
        <w:spacing w:line="288" w:lineRule="auto"/>
        <w:jc w:val="center"/>
        <w:rPr>
          <w:rFonts w:ascii="Garamond" w:hAnsi="Garamond"/>
          <w:b/>
          <w:bCs/>
        </w:rPr>
      </w:pPr>
      <w:r>
        <w:rPr>
          <w:rFonts w:ascii="Garamond" w:hAnsi="Garamond"/>
          <w:b/>
          <w:bCs/>
          <w:noProof/>
        </w:rPr>
        <w:drawing>
          <wp:inline distT="0" distB="0" distL="0" distR="0" wp14:anchorId="729B2F72" wp14:editId="1EE22FFA">
            <wp:extent cx="2147225" cy="216154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7086" cy="2181533"/>
                    </a:xfrm>
                    <a:prstGeom prst="rect">
                      <a:avLst/>
                    </a:prstGeom>
                    <a:noFill/>
                    <a:ln>
                      <a:noFill/>
                    </a:ln>
                  </pic:spPr>
                </pic:pic>
              </a:graphicData>
            </a:graphic>
          </wp:inline>
        </w:drawing>
      </w:r>
    </w:p>
    <w:p w14:paraId="6A5C1A0E" w14:textId="77777777" w:rsidR="00F16973" w:rsidRDefault="00F16973" w:rsidP="006E1FD6">
      <w:pPr>
        <w:spacing w:line="288" w:lineRule="auto"/>
        <w:rPr>
          <w:rFonts w:ascii="Garamond" w:hAnsi="Garamond"/>
          <w:b/>
          <w:bCs/>
        </w:rPr>
      </w:pPr>
    </w:p>
    <w:p w14:paraId="0EE4AEA9" w14:textId="435D38E2" w:rsidR="00A43193" w:rsidRPr="00F16973" w:rsidRDefault="00512EEC" w:rsidP="006E1FD6">
      <w:pPr>
        <w:spacing w:line="288" w:lineRule="auto"/>
        <w:rPr>
          <w:rFonts w:ascii="Garamond" w:hAnsi="Garamond"/>
          <w:b/>
          <w:bCs/>
          <w:color w:val="009999"/>
        </w:rPr>
      </w:pPr>
      <w:r w:rsidRPr="00F16973">
        <w:rPr>
          <w:rFonts w:ascii="Garamond" w:hAnsi="Garamond"/>
          <w:b/>
          <w:bCs/>
          <w:color w:val="009999"/>
        </w:rPr>
        <w:lastRenderedPageBreak/>
        <w:t>Module One</w:t>
      </w:r>
      <w:r w:rsidR="00A43193" w:rsidRPr="00F16973">
        <w:rPr>
          <w:rFonts w:ascii="Garamond" w:hAnsi="Garamond"/>
          <w:b/>
          <w:bCs/>
          <w:color w:val="009999"/>
        </w:rPr>
        <w:t xml:space="preserve">: Theory and principles of developmental </w:t>
      </w:r>
      <w:r w:rsidR="006E1FD6" w:rsidRPr="00F16973">
        <w:rPr>
          <w:rFonts w:ascii="Garamond" w:hAnsi="Garamond"/>
          <w:b/>
          <w:bCs/>
          <w:color w:val="009999"/>
        </w:rPr>
        <w:t>trauma</w:t>
      </w:r>
    </w:p>
    <w:p w14:paraId="712BD48C" w14:textId="77777777" w:rsidR="006E1FD6" w:rsidRPr="00893A1D" w:rsidRDefault="006E1FD6" w:rsidP="006E1FD6">
      <w:pPr>
        <w:spacing w:line="288" w:lineRule="auto"/>
        <w:rPr>
          <w:rFonts w:ascii="Garamond" w:hAnsi="Garamond"/>
          <w:b/>
          <w:bCs/>
        </w:rPr>
      </w:pPr>
    </w:p>
    <w:p w14:paraId="442B78B6" w14:textId="2E2FE1E0" w:rsidR="006E1FD6" w:rsidRPr="00893A1D" w:rsidRDefault="006E1FD6" w:rsidP="006E1FD6">
      <w:pPr>
        <w:spacing w:line="288" w:lineRule="auto"/>
        <w:rPr>
          <w:rFonts w:ascii="Garamond" w:hAnsi="Garamond"/>
          <w:b/>
          <w:bCs/>
        </w:rPr>
      </w:pPr>
      <w:r w:rsidRPr="00893A1D">
        <w:rPr>
          <w:rFonts w:ascii="Garamond" w:hAnsi="Garamond"/>
          <w:b/>
          <w:bCs/>
        </w:rPr>
        <w:t>Topics covered in this module</w:t>
      </w:r>
      <w:r w:rsidR="009C1F70" w:rsidRPr="00893A1D">
        <w:rPr>
          <w:rFonts w:ascii="Garamond" w:hAnsi="Garamond"/>
          <w:b/>
          <w:bCs/>
        </w:rPr>
        <w:t xml:space="preserve"> include:</w:t>
      </w:r>
    </w:p>
    <w:p w14:paraId="7527C227" w14:textId="77777777" w:rsidR="00BA39E1" w:rsidRPr="00893A1D" w:rsidRDefault="00BA39E1" w:rsidP="00BA39E1">
      <w:pPr>
        <w:pStyle w:val="ListParagraph"/>
        <w:numPr>
          <w:ilvl w:val="0"/>
          <w:numId w:val="2"/>
        </w:numPr>
        <w:spacing w:line="288" w:lineRule="auto"/>
        <w:rPr>
          <w:rFonts w:ascii="Garamond" w:hAnsi="Garamond"/>
          <w:b/>
          <w:bCs/>
        </w:rPr>
      </w:pPr>
      <w:r w:rsidRPr="00893A1D">
        <w:rPr>
          <w:rFonts w:ascii="Garamond" w:hAnsi="Garamond"/>
        </w:rPr>
        <w:t>Definitions of childhood trauma</w:t>
      </w:r>
    </w:p>
    <w:p w14:paraId="75A14EA2" w14:textId="57B20235" w:rsidR="006E1FD6" w:rsidRPr="00893A1D" w:rsidRDefault="006E1FD6" w:rsidP="006E1FD6">
      <w:pPr>
        <w:pStyle w:val="ListParagraph"/>
        <w:numPr>
          <w:ilvl w:val="0"/>
          <w:numId w:val="2"/>
        </w:numPr>
        <w:spacing w:line="288" w:lineRule="auto"/>
        <w:rPr>
          <w:rFonts w:ascii="Garamond" w:hAnsi="Garamond"/>
          <w:b/>
          <w:bCs/>
        </w:rPr>
      </w:pPr>
      <w:r w:rsidRPr="00893A1D">
        <w:rPr>
          <w:rFonts w:ascii="Garamond" w:hAnsi="Garamond"/>
        </w:rPr>
        <w:t>Becoming aware of the impact of trauma</w:t>
      </w:r>
    </w:p>
    <w:p w14:paraId="6772E868" w14:textId="55ABAF67" w:rsidR="000D357A" w:rsidRPr="00893A1D" w:rsidRDefault="000D357A" w:rsidP="006E1FD6">
      <w:pPr>
        <w:pStyle w:val="ListParagraph"/>
        <w:numPr>
          <w:ilvl w:val="0"/>
          <w:numId w:val="2"/>
        </w:numPr>
        <w:spacing w:line="288" w:lineRule="auto"/>
        <w:rPr>
          <w:rFonts w:ascii="Garamond" w:hAnsi="Garamond"/>
          <w:b/>
          <w:bCs/>
        </w:rPr>
      </w:pPr>
      <w:r w:rsidRPr="00893A1D">
        <w:rPr>
          <w:rFonts w:ascii="Garamond" w:hAnsi="Garamond"/>
        </w:rPr>
        <w:t>Introduction to brain and nervous system development in childhood</w:t>
      </w:r>
    </w:p>
    <w:p w14:paraId="27BB8C63" w14:textId="0A251494" w:rsidR="000D357A" w:rsidRPr="00893A1D" w:rsidRDefault="006E1FD6" w:rsidP="000D357A">
      <w:pPr>
        <w:pStyle w:val="ListParagraph"/>
        <w:numPr>
          <w:ilvl w:val="0"/>
          <w:numId w:val="2"/>
        </w:numPr>
        <w:spacing w:line="288" w:lineRule="auto"/>
        <w:rPr>
          <w:rFonts w:ascii="Garamond" w:hAnsi="Garamond"/>
          <w:b/>
          <w:bCs/>
        </w:rPr>
      </w:pPr>
      <w:r w:rsidRPr="00893A1D">
        <w:rPr>
          <w:rFonts w:ascii="Garamond" w:hAnsi="Garamond"/>
        </w:rPr>
        <w:t>The impact of trauma on brain development</w:t>
      </w:r>
    </w:p>
    <w:p w14:paraId="47CCC52F" w14:textId="77777777" w:rsidR="00BA39E1" w:rsidRPr="00893A1D" w:rsidRDefault="00BA39E1" w:rsidP="00BA39E1">
      <w:pPr>
        <w:pStyle w:val="ListParagraph"/>
        <w:numPr>
          <w:ilvl w:val="0"/>
          <w:numId w:val="2"/>
        </w:numPr>
        <w:spacing w:line="288" w:lineRule="auto"/>
        <w:rPr>
          <w:rFonts w:ascii="Garamond" w:hAnsi="Garamond"/>
          <w:b/>
          <w:bCs/>
        </w:rPr>
      </w:pPr>
      <w:r w:rsidRPr="00893A1D">
        <w:rPr>
          <w:rFonts w:ascii="Garamond" w:hAnsi="Garamond"/>
        </w:rPr>
        <w:t xml:space="preserve">Recognition of survival strategies </w:t>
      </w:r>
    </w:p>
    <w:p w14:paraId="400D630B" w14:textId="77F6C702" w:rsidR="00FF14CB" w:rsidRPr="00893A1D" w:rsidRDefault="00FF14CB" w:rsidP="00FF14CB">
      <w:pPr>
        <w:pStyle w:val="ListParagraph"/>
        <w:numPr>
          <w:ilvl w:val="0"/>
          <w:numId w:val="2"/>
        </w:numPr>
        <w:spacing w:line="288" w:lineRule="auto"/>
        <w:rPr>
          <w:rFonts w:ascii="Garamond" w:hAnsi="Garamond"/>
          <w:b/>
          <w:bCs/>
        </w:rPr>
      </w:pPr>
      <w:r w:rsidRPr="00893A1D">
        <w:rPr>
          <w:rFonts w:ascii="Garamond" w:hAnsi="Garamond"/>
        </w:rPr>
        <w:t>Reading the child’s cues: tuning into verbal and non-verbal presentations</w:t>
      </w:r>
    </w:p>
    <w:p w14:paraId="513D7E14" w14:textId="53A36ACD" w:rsidR="00FF14CB" w:rsidRPr="00893A1D" w:rsidRDefault="009C1F70" w:rsidP="00FF14CB">
      <w:pPr>
        <w:pStyle w:val="ListParagraph"/>
        <w:numPr>
          <w:ilvl w:val="0"/>
          <w:numId w:val="2"/>
        </w:numPr>
        <w:spacing w:line="288" w:lineRule="auto"/>
        <w:rPr>
          <w:rFonts w:ascii="Garamond" w:hAnsi="Garamond"/>
          <w:b/>
          <w:bCs/>
        </w:rPr>
      </w:pPr>
      <w:r w:rsidRPr="00893A1D">
        <w:rPr>
          <w:rFonts w:ascii="Garamond" w:hAnsi="Garamond"/>
        </w:rPr>
        <w:t>Responding to childhood trauma, informed by neurodevelopmental (</w:t>
      </w:r>
      <w:proofErr w:type="spellStart"/>
      <w:r w:rsidRPr="00893A1D">
        <w:rPr>
          <w:rFonts w:ascii="Garamond" w:hAnsi="Garamond"/>
        </w:rPr>
        <w:t>neurosequential</w:t>
      </w:r>
      <w:proofErr w:type="spellEnd"/>
      <w:r w:rsidRPr="00893A1D">
        <w:rPr>
          <w:rFonts w:ascii="Garamond" w:hAnsi="Garamond"/>
        </w:rPr>
        <w:t>)</w:t>
      </w:r>
      <w:r w:rsidR="006539DE" w:rsidRPr="00893A1D">
        <w:rPr>
          <w:rFonts w:ascii="Garamond" w:hAnsi="Garamond"/>
        </w:rPr>
        <w:t>, polyvagal and bottom-up therapeutic</w:t>
      </w:r>
      <w:r w:rsidRPr="00893A1D">
        <w:rPr>
          <w:rFonts w:ascii="Garamond" w:hAnsi="Garamond"/>
        </w:rPr>
        <w:t xml:space="preserve"> principles</w:t>
      </w:r>
    </w:p>
    <w:p w14:paraId="3F4522FF" w14:textId="2CBF5767" w:rsidR="000D357A" w:rsidRPr="00893A1D" w:rsidRDefault="000D357A" w:rsidP="00FF14CB">
      <w:pPr>
        <w:pStyle w:val="ListParagraph"/>
        <w:numPr>
          <w:ilvl w:val="0"/>
          <w:numId w:val="2"/>
        </w:numPr>
        <w:spacing w:line="288" w:lineRule="auto"/>
        <w:rPr>
          <w:rFonts w:ascii="Garamond" w:hAnsi="Garamond"/>
          <w:b/>
          <w:bCs/>
        </w:rPr>
      </w:pPr>
      <w:r w:rsidRPr="00893A1D">
        <w:rPr>
          <w:rFonts w:ascii="Garamond" w:hAnsi="Garamond"/>
        </w:rPr>
        <w:t>Opportunities for Q&amp;A and reflection</w:t>
      </w:r>
    </w:p>
    <w:p w14:paraId="23587026" w14:textId="29974606" w:rsidR="00683B85" w:rsidRPr="00893A1D" w:rsidRDefault="00683B85" w:rsidP="00FF14CB">
      <w:pPr>
        <w:pStyle w:val="ListParagraph"/>
        <w:numPr>
          <w:ilvl w:val="0"/>
          <w:numId w:val="2"/>
        </w:numPr>
        <w:spacing w:line="288" w:lineRule="auto"/>
        <w:rPr>
          <w:rFonts w:ascii="Garamond" w:hAnsi="Garamond"/>
          <w:b/>
          <w:bCs/>
        </w:rPr>
      </w:pPr>
      <w:r w:rsidRPr="00893A1D">
        <w:rPr>
          <w:rFonts w:ascii="Garamond" w:hAnsi="Garamond"/>
        </w:rPr>
        <w:t>Case presentation</w:t>
      </w:r>
    </w:p>
    <w:p w14:paraId="06966ECF" w14:textId="16D73398" w:rsidR="00683B85" w:rsidRPr="00893A1D" w:rsidRDefault="00683B85" w:rsidP="00FF14CB">
      <w:pPr>
        <w:pStyle w:val="ListParagraph"/>
        <w:numPr>
          <w:ilvl w:val="0"/>
          <w:numId w:val="2"/>
        </w:numPr>
        <w:spacing w:line="288" w:lineRule="auto"/>
        <w:rPr>
          <w:rFonts w:ascii="Garamond" w:hAnsi="Garamond"/>
          <w:b/>
          <w:bCs/>
        </w:rPr>
      </w:pPr>
      <w:r w:rsidRPr="00893A1D">
        <w:rPr>
          <w:rFonts w:ascii="Garamond" w:hAnsi="Garamond"/>
        </w:rPr>
        <w:t>Prescribed reading materials</w:t>
      </w:r>
    </w:p>
    <w:p w14:paraId="738098B8" w14:textId="276FB0AC" w:rsidR="00A43193" w:rsidRPr="00893A1D" w:rsidRDefault="00A43193" w:rsidP="00CB7BCA">
      <w:pPr>
        <w:spacing w:line="288" w:lineRule="auto"/>
        <w:rPr>
          <w:rFonts w:ascii="Garamond" w:hAnsi="Garamond"/>
        </w:rPr>
      </w:pPr>
    </w:p>
    <w:p w14:paraId="5FB4E111" w14:textId="60EE5621" w:rsidR="00512EEC" w:rsidRPr="00F16973" w:rsidRDefault="00512EEC" w:rsidP="00CB7BCA">
      <w:pPr>
        <w:spacing w:line="288" w:lineRule="auto"/>
        <w:rPr>
          <w:rFonts w:ascii="Garamond" w:hAnsi="Garamond"/>
          <w:color w:val="009999"/>
        </w:rPr>
      </w:pPr>
    </w:p>
    <w:p w14:paraId="18F9E1C2" w14:textId="071C8DF7" w:rsidR="00512EEC" w:rsidRPr="00F16973" w:rsidRDefault="00512EEC" w:rsidP="00CB7BCA">
      <w:pPr>
        <w:spacing w:line="288" w:lineRule="auto"/>
        <w:rPr>
          <w:rFonts w:ascii="Garamond" w:hAnsi="Garamond"/>
          <w:b/>
          <w:bCs/>
          <w:color w:val="009999"/>
        </w:rPr>
      </w:pPr>
      <w:r w:rsidRPr="00F16973">
        <w:rPr>
          <w:rFonts w:ascii="Garamond" w:hAnsi="Garamond"/>
          <w:b/>
          <w:bCs/>
          <w:color w:val="009999"/>
        </w:rPr>
        <w:t xml:space="preserve">Module Two: </w:t>
      </w:r>
      <w:r w:rsidR="00BA39E1" w:rsidRPr="00F16973">
        <w:rPr>
          <w:rFonts w:ascii="Garamond" w:hAnsi="Garamond"/>
          <w:b/>
          <w:bCs/>
          <w:color w:val="009999"/>
        </w:rPr>
        <w:t>Making sense of a complex story - t</w:t>
      </w:r>
      <w:r w:rsidRPr="00F16973">
        <w:rPr>
          <w:rFonts w:ascii="Garamond" w:hAnsi="Garamond"/>
          <w:b/>
          <w:bCs/>
          <w:color w:val="009999"/>
        </w:rPr>
        <w:t>he intersection between childhood trauma and neurodevelopment</w:t>
      </w:r>
    </w:p>
    <w:p w14:paraId="217DD07E" w14:textId="5370FD51" w:rsidR="00A43193" w:rsidRPr="00893A1D" w:rsidRDefault="00A43193" w:rsidP="00CB7BCA">
      <w:pPr>
        <w:spacing w:line="288" w:lineRule="auto"/>
        <w:rPr>
          <w:rFonts w:ascii="Garamond" w:hAnsi="Garamond"/>
          <w:b/>
          <w:bCs/>
        </w:rPr>
      </w:pPr>
    </w:p>
    <w:p w14:paraId="30B2EDAF" w14:textId="7DF929B6" w:rsidR="009C1F70" w:rsidRPr="00893A1D" w:rsidRDefault="009C1F70" w:rsidP="00CB7BCA">
      <w:pPr>
        <w:spacing w:line="288" w:lineRule="auto"/>
        <w:rPr>
          <w:rFonts w:ascii="Garamond" w:hAnsi="Garamond"/>
          <w:b/>
          <w:bCs/>
        </w:rPr>
      </w:pPr>
      <w:r w:rsidRPr="00893A1D">
        <w:rPr>
          <w:rFonts w:ascii="Garamond" w:hAnsi="Garamond"/>
          <w:b/>
          <w:bCs/>
        </w:rPr>
        <w:t>Topics covered in this module include:</w:t>
      </w:r>
    </w:p>
    <w:p w14:paraId="5AC21511" w14:textId="2EA8DC0A" w:rsidR="009C1F70" w:rsidRPr="00893A1D" w:rsidRDefault="009C1F70" w:rsidP="009C1F70">
      <w:pPr>
        <w:pStyle w:val="ListParagraph"/>
        <w:numPr>
          <w:ilvl w:val="0"/>
          <w:numId w:val="3"/>
        </w:numPr>
        <w:spacing w:line="288" w:lineRule="auto"/>
        <w:rPr>
          <w:rFonts w:ascii="Garamond" w:hAnsi="Garamond"/>
        </w:rPr>
      </w:pPr>
      <w:r w:rsidRPr="00893A1D">
        <w:rPr>
          <w:rFonts w:ascii="Garamond" w:hAnsi="Garamond"/>
        </w:rPr>
        <w:t>The intersection between childhood trauma and neurodevelopmental profiles, including autism, ADHD and FASD</w:t>
      </w:r>
    </w:p>
    <w:p w14:paraId="1F0E488C" w14:textId="7B364EF0" w:rsidR="000D357A" w:rsidRPr="00893A1D" w:rsidRDefault="000D357A" w:rsidP="009C1F70">
      <w:pPr>
        <w:pStyle w:val="ListParagraph"/>
        <w:numPr>
          <w:ilvl w:val="0"/>
          <w:numId w:val="3"/>
        </w:numPr>
        <w:spacing w:line="288" w:lineRule="auto"/>
        <w:rPr>
          <w:rFonts w:ascii="Garamond" w:hAnsi="Garamond"/>
        </w:rPr>
      </w:pPr>
      <w:r w:rsidRPr="00893A1D">
        <w:rPr>
          <w:rFonts w:ascii="Garamond" w:hAnsi="Garamond"/>
        </w:rPr>
        <w:t>Childhood trauma and mental health</w:t>
      </w:r>
    </w:p>
    <w:p w14:paraId="2CB1760D" w14:textId="4C76375A" w:rsidR="009C1F70" w:rsidRPr="00893A1D" w:rsidRDefault="009C1F70" w:rsidP="009C1F70">
      <w:pPr>
        <w:pStyle w:val="ListParagraph"/>
        <w:numPr>
          <w:ilvl w:val="0"/>
          <w:numId w:val="3"/>
        </w:numPr>
        <w:spacing w:line="288" w:lineRule="auto"/>
        <w:rPr>
          <w:rFonts w:ascii="Garamond" w:hAnsi="Garamond"/>
        </w:rPr>
      </w:pPr>
      <w:r w:rsidRPr="00893A1D">
        <w:rPr>
          <w:rFonts w:ascii="Garamond" w:hAnsi="Garamond"/>
        </w:rPr>
        <w:t>Assessment from a trauma sensitive perspective</w:t>
      </w:r>
      <w:r w:rsidR="000D357A" w:rsidRPr="00893A1D">
        <w:rPr>
          <w:rFonts w:ascii="Garamond" w:hAnsi="Garamond"/>
        </w:rPr>
        <w:t>: what do we need to consider?</w:t>
      </w:r>
    </w:p>
    <w:p w14:paraId="6E3661DE" w14:textId="64635A0B" w:rsidR="000D357A" w:rsidRPr="00893A1D" w:rsidRDefault="000D357A" w:rsidP="009C1F70">
      <w:pPr>
        <w:pStyle w:val="ListParagraph"/>
        <w:numPr>
          <w:ilvl w:val="0"/>
          <w:numId w:val="3"/>
        </w:numPr>
        <w:spacing w:line="288" w:lineRule="auto"/>
        <w:rPr>
          <w:rFonts w:ascii="Garamond" w:hAnsi="Garamond"/>
        </w:rPr>
      </w:pPr>
      <w:r w:rsidRPr="00893A1D">
        <w:rPr>
          <w:rFonts w:ascii="Garamond" w:hAnsi="Garamond"/>
        </w:rPr>
        <w:t>Integrating multiple perspectives and stories</w:t>
      </w:r>
    </w:p>
    <w:p w14:paraId="5282446B" w14:textId="51C17F13" w:rsidR="000D357A" w:rsidRPr="00893A1D" w:rsidRDefault="000D357A" w:rsidP="009C1F70">
      <w:pPr>
        <w:pStyle w:val="ListParagraph"/>
        <w:numPr>
          <w:ilvl w:val="0"/>
          <w:numId w:val="3"/>
        </w:numPr>
        <w:spacing w:line="288" w:lineRule="auto"/>
        <w:rPr>
          <w:rFonts w:ascii="Garamond" w:hAnsi="Garamond"/>
        </w:rPr>
      </w:pPr>
      <w:r w:rsidRPr="00893A1D">
        <w:rPr>
          <w:rFonts w:ascii="Garamond" w:hAnsi="Garamond"/>
        </w:rPr>
        <w:t>Arriving at a unique story for each young person</w:t>
      </w:r>
    </w:p>
    <w:p w14:paraId="0734EA80" w14:textId="724B3072" w:rsidR="000D357A" w:rsidRPr="00893A1D" w:rsidRDefault="000D357A" w:rsidP="009C1F70">
      <w:pPr>
        <w:pStyle w:val="ListParagraph"/>
        <w:numPr>
          <w:ilvl w:val="0"/>
          <w:numId w:val="3"/>
        </w:numPr>
        <w:spacing w:line="288" w:lineRule="auto"/>
        <w:rPr>
          <w:rFonts w:ascii="Garamond" w:hAnsi="Garamond"/>
        </w:rPr>
      </w:pPr>
      <w:r w:rsidRPr="00893A1D">
        <w:rPr>
          <w:rFonts w:ascii="Garamond" w:hAnsi="Garamond"/>
        </w:rPr>
        <w:t>How formulation (co-creating stories) supports an intervention plan</w:t>
      </w:r>
    </w:p>
    <w:p w14:paraId="498E677F" w14:textId="5D6A0F28" w:rsidR="000D357A" w:rsidRPr="00893A1D" w:rsidRDefault="00EB65DF" w:rsidP="009C1F70">
      <w:pPr>
        <w:pStyle w:val="ListParagraph"/>
        <w:numPr>
          <w:ilvl w:val="0"/>
          <w:numId w:val="3"/>
        </w:numPr>
        <w:spacing w:line="288" w:lineRule="auto"/>
        <w:rPr>
          <w:rFonts w:ascii="Garamond" w:hAnsi="Garamond"/>
        </w:rPr>
      </w:pPr>
      <w:r w:rsidRPr="00893A1D">
        <w:rPr>
          <w:rFonts w:ascii="Garamond" w:hAnsi="Garamond"/>
        </w:rPr>
        <w:t>Opportunities to consider sample case studies to integrate theory and practice</w:t>
      </w:r>
    </w:p>
    <w:p w14:paraId="48D46C6A" w14:textId="4174998C" w:rsidR="00EB65DF" w:rsidRPr="00893A1D" w:rsidRDefault="00EB65DF" w:rsidP="00EB65DF">
      <w:pPr>
        <w:pStyle w:val="ListParagraph"/>
        <w:numPr>
          <w:ilvl w:val="0"/>
          <w:numId w:val="3"/>
        </w:numPr>
        <w:spacing w:line="288" w:lineRule="auto"/>
        <w:rPr>
          <w:rFonts w:ascii="Garamond" w:hAnsi="Garamond"/>
          <w:b/>
          <w:bCs/>
        </w:rPr>
      </w:pPr>
      <w:r w:rsidRPr="00893A1D">
        <w:rPr>
          <w:rFonts w:ascii="Garamond" w:hAnsi="Garamond"/>
        </w:rPr>
        <w:t>Opportunities for Q&amp;A and reflection</w:t>
      </w:r>
    </w:p>
    <w:p w14:paraId="48A00E78" w14:textId="3F57DE65" w:rsidR="00512EEC" w:rsidRPr="00893A1D" w:rsidRDefault="00512EEC" w:rsidP="00CB7BCA">
      <w:pPr>
        <w:spacing w:line="288" w:lineRule="auto"/>
        <w:rPr>
          <w:rFonts w:ascii="Garamond" w:hAnsi="Garamond"/>
        </w:rPr>
      </w:pPr>
    </w:p>
    <w:p w14:paraId="1A291FCB" w14:textId="77777777" w:rsidR="00683B85" w:rsidRPr="00F16973" w:rsidRDefault="00683B85" w:rsidP="00CB7BCA">
      <w:pPr>
        <w:spacing w:line="288" w:lineRule="auto"/>
        <w:rPr>
          <w:rFonts w:ascii="Garamond" w:hAnsi="Garamond"/>
          <w:color w:val="009999"/>
        </w:rPr>
      </w:pPr>
    </w:p>
    <w:p w14:paraId="28FBA980" w14:textId="4171FA99" w:rsidR="00512EEC" w:rsidRPr="00F16973" w:rsidRDefault="00512EEC" w:rsidP="00CB7BCA">
      <w:pPr>
        <w:spacing w:line="288" w:lineRule="auto"/>
        <w:rPr>
          <w:rFonts w:ascii="Garamond" w:hAnsi="Garamond"/>
          <w:b/>
          <w:bCs/>
          <w:color w:val="009999"/>
        </w:rPr>
      </w:pPr>
      <w:r w:rsidRPr="00F16973">
        <w:rPr>
          <w:rFonts w:ascii="Garamond" w:hAnsi="Garamond"/>
          <w:b/>
          <w:bCs/>
          <w:color w:val="009999"/>
        </w:rPr>
        <w:t>Module Three: Trauma and sensory integration</w:t>
      </w:r>
      <w:r w:rsidR="00CB7BCA" w:rsidRPr="00F16973">
        <w:rPr>
          <w:rFonts w:ascii="Garamond" w:hAnsi="Garamond"/>
          <w:b/>
          <w:bCs/>
          <w:color w:val="009999"/>
        </w:rPr>
        <w:t>: supporting co-regulation</w:t>
      </w:r>
    </w:p>
    <w:p w14:paraId="4CA79D9E" w14:textId="55568EAA" w:rsidR="009C1F70" w:rsidRPr="00893A1D" w:rsidRDefault="009C1F70" w:rsidP="00CB7BCA">
      <w:pPr>
        <w:spacing w:line="288" w:lineRule="auto"/>
        <w:rPr>
          <w:rFonts w:ascii="Garamond" w:hAnsi="Garamond"/>
          <w:b/>
          <w:bCs/>
        </w:rPr>
      </w:pPr>
    </w:p>
    <w:p w14:paraId="74ABE88C" w14:textId="4E964F04" w:rsidR="009C1F70" w:rsidRPr="00893A1D" w:rsidRDefault="009C1F70" w:rsidP="00CB7BCA">
      <w:pPr>
        <w:spacing w:line="288" w:lineRule="auto"/>
        <w:rPr>
          <w:rFonts w:ascii="Garamond" w:hAnsi="Garamond"/>
          <w:b/>
          <w:bCs/>
        </w:rPr>
      </w:pPr>
      <w:r w:rsidRPr="00893A1D">
        <w:rPr>
          <w:rFonts w:ascii="Garamond" w:hAnsi="Garamond"/>
          <w:b/>
          <w:bCs/>
        </w:rPr>
        <w:t>Topics covered in this module include:</w:t>
      </w:r>
    </w:p>
    <w:p w14:paraId="77622B4F" w14:textId="04C3CC1A" w:rsidR="009C1F70" w:rsidRPr="00893A1D" w:rsidRDefault="009C1F70" w:rsidP="009C1F70">
      <w:pPr>
        <w:pStyle w:val="ListParagraph"/>
        <w:numPr>
          <w:ilvl w:val="0"/>
          <w:numId w:val="4"/>
        </w:numPr>
        <w:spacing w:line="288" w:lineRule="auto"/>
        <w:rPr>
          <w:rFonts w:ascii="Garamond" w:hAnsi="Garamond"/>
          <w:b/>
          <w:bCs/>
        </w:rPr>
      </w:pPr>
      <w:r w:rsidRPr="00893A1D">
        <w:rPr>
          <w:rFonts w:ascii="Garamond" w:hAnsi="Garamond"/>
        </w:rPr>
        <w:t xml:space="preserve">An introduction </w:t>
      </w:r>
      <w:r w:rsidR="00AB7DEF" w:rsidRPr="00893A1D">
        <w:rPr>
          <w:rFonts w:ascii="Garamond" w:hAnsi="Garamond"/>
        </w:rPr>
        <w:t>to sensory integration</w:t>
      </w:r>
    </w:p>
    <w:p w14:paraId="6679C315" w14:textId="09B53292" w:rsidR="00EB65DF" w:rsidRPr="00893A1D" w:rsidRDefault="00EB65DF" w:rsidP="009C1F70">
      <w:pPr>
        <w:pStyle w:val="ListParagraph"/>
        <w:numPr>
          <w:ilvl w:val="0"/>
          <w:numId w:val="4"/>
        </w:numPr>
        <w:spacing w:line="288" w:lineRule="auto"/>
        <w:rPr>
          <w:rFonts w:ascii="Garamond" w:hAnsi="Garamond"/>
          <w:b/>
          <w:bCs/>
        </w:rPr>
      </w:pPr>
      <w:r w:rsidRPr="00893A1D">
        <w:rPr>
          <w:rFonts w:ascii="Garamond" w:hAnsi="Garamond"/>
        </w:rPr>
        <w:t>Understanding arousal levels in young people</w:t>
      </w:r>
    </w:p>
    <w:p w14:paraId="01191C67" w14:textId="2C940340" w:rsidR="00AB7DEF" w:rsidRPr="00893A1D" w:rsidRDefault="00AB7DEF" w:rsidP="009C1F70">
      <w:pPr>
        <w:pStyle w:val="ListParagraph"/>
        <w:numPr>
          <w:ilvl w:val="0"/>
          <w:numId w:val="4"/>
        </w:numPr>
        <w:spacing w:line="288" w:lineRule="auto"/>
        <w:rPr>
          <w:rFonts w:ascii="Garamond" w:hAnsi="Garamond"/>
          <w:b/>
          <w:bCs/>
        </w:rPr>
      </w:pPr>
      <w:r w:rsidRPr="00893A1D">
        <w:rPr>
          <w:rFonts w:ascii="Garamond" w:hAnsi="Garamond"/>
        </w:rPr>
        <w:t>The interplay between sensory systems and attachment</w:t>
      </w:r>
    </w:p>
    <w:p w14:paraId="454D8AF0" w14:textId="2B8E2417" w:rsidR="00AB7DEF" w:rsidRPr="00893A1D" w:rsidRDefault="00AB7DEF" w:rsidP="009C1F70">
      <w:pPr>
        <w:pStyle w:val="ListParagraph"/>
        <w:numPr>
          <w:ilvl w:val="0"/>
          <w:numId w:val="4"/>
        </w:numPr>
        <w:spacing w:line="288" w:lineRule="auto"/>
        <w:rPr>
          <w:rFonts w:ascii="Garamond" w:hAnsi="Garamond"/>
          <w:b/>
          <w:bCs/>
        </w:rPr>
      </w:pPr>
      <w:r w:rsidRPr="00893A1D">
        <w:rPr>
          <w:rFonts w:ascii="Garamond" w:hAnsi="Garamond"/>
        </w:rPr>
        <w:t>The importance of attending to regulatory approaches before progressing onwards</w:t>
      </w:r>
    </w:p>
    <w:p w14:paraId="5993D74D" w14:textId="155DDD63" w:rsidR="00AB7DEF" w:rsidRPr="00893A1D" w:rsidRDefault="00AB7DEF" w:rsidP="009C1F70">
      <w:pPr>
        <w:pStyle w:val="ListParagraph"/>
        <w:numPr>
          <w:ilvl w:val="0"/>
          <w:numId w:val="4"/>
        </w:numPr>
        <w:spacing w:line="288" w:lineRule="auto"/>
        <w:rPr>
          <w:rFonts w:ascii="Garamond" w:hAnsi="Garamond"/>
          <w:b/>
          <w:bCs/>
        </w:rPr>
      </w:pPr>
      <w:r w:rsidRPr="00893A1D">
        <w:rPr>
          <w:rFonts w:ascii="Garamond" w:hAnsi="Garamond"/>
        </w:rPr>
        <w:t>Supporting recovery from a sensory perspective</w:t>
      </w:r>
    </w:p>
    <w:p w14:paraId="1C95E7C3" w14:textId="123221BB" w:rsidR="00EB65DF" w:rsidRPr="00893A1D" w:rsidRDefault="00AB7DEF" w:rsidP="00EB65DF">
      <w:pPr>
        <w:pStyle w:val="ListParagraph"/>
        <w:numPr>
          <w:ilvl w:val="0"/>
          <w:numId w:val="4"/>
        </w:numPr>
        <w:spacing w:line="288" w:lineRule="auto"/>
        <w:rPr>
          <w:rFonts w:ascii="Garamond" w:hAnsi="Garamond"/>
          <w:b/>
          <w:bCs/>
        </w:rPr>
      </w:pPr>
      <w:r w:rsidRPr="00893A1D">
        <w:rPr>
          <w:rFonts w:ascii="Garamond" w:hAnsi="Garamond"/>
        </w:rPr>
        <w:t>Practical approaches for</w:t>
      </w:r>
      <w:r w:rsidR="00EB65DF" w:rsidRPr="00893A1D">
        <w:rPr>
          <w:rFonts w:ascii="Garamond" w:hAnsi="Garamond"/>
        </w:rPr>
        <w:t xml:space="preserve"> home,</w:t>
      </w:r>
      <w:r w:rsidRPr="00893A1D">
        <w:rPr>
          <w:rFonts w:ascii="Garamond" w:hAnsi="Garamond"/>
        </w:rPr>
        <w:t xml:space="preserve"> therapy and schoo</w:t>
      </w:r>
      <w:r w:rsidR="00EB65DF" w:rsidRPr="00893A1D">
        <w:rPr>
          <w:rFonts w:ascii="Garamond" w:hAnsi="Garamond"/>
        </w:rPr>
        <w:t>l settings</w:t>
      </w:r>
    </w:p>
    <w:p w14:paraId="2844CCD1" w14:textId="0C9B8252" w:rsidR="00240817" w:rsidRPr="00893A1D" w:rsidRDefault="00240817" w:rsidP="00EB65DF">
      <w:pPr>
        <w:pStyle w:val="ListParagraph"/>
        <w:numPr>
          <w:ilvl w:val="0"/>
          <w:numId w:val="4"/>
        </w:numPr>
        <w:spacing w:line="288" w:lineRule="auto"/>
        <w:rPr>
          <w:rFonts w:ascii="Garamond" w:hAnsi="Garamond"/>
          <w:b/>
          <w:bCs/>
        </w:rPr>
      </w:pPr>
      <w:r w:rsidRPr="00893A1D">
        <w:rPr>
          <w:rFonts w:ascii="Garamond" w:hAnsi="Garamond"/>
        </w:rPr>
        <w:lastRenderedPageBreak/>
        <w:t>Trying to personalise regulation</w:t>
      </w:r>
    </w:p>
    <w:p w14:paraId="44E329B4" w14:textId="40E7F6C1" w:rsidR="00240817" w:rsidRPr="00893A1D" w:rsidRDefault="00893A1D" w:rsidP="00EB65DF">
      <w:pPr>
        <w:pStyle w:val="ListParagraph"/>
        <w:numPr>
          <w:ilvl w:val="0"/>
          <w:numId w:val="4"/>
        </w:numPr>
        <w:spacing w:line="288" w:lineRule="auto"/>
        <w:rPr>
          <w:rFonts w:ascii="Garamond" w:hAnsi="Garamond"/>
          <w:b/>
          <w:bCs/>
        </w:rPr>
      </w:pPr>
      <w:r w:rsidRPr="00893A1D">
        <w:rPr>
          <w:rFonts w:ascii="Garamond" w:hAnsi="Garamond"/>
        </w:rPr>
        <w:t>Parents</w:t>
      </w:r>
      <w:r w:rsidR="00240817" w:rsidRPr="00893A1D">
        <w:rPr>
          <w:rFonts w:ascii="Garamond" w:hAnsi="Garamond"/>
        </w:rPr>
        <w:t xml:space="preserve"> soothing babies</w:t>
      </w:r>
    </w:p>
    <w:p w14:paraId="01B79720" w14:textId="098660E8" w:rsidR="00EB65DF" w:rsidRPr="00893A1D" w:rsidRDefault="00EB65DF" w:rsidP="00EB65DF">
      <w:pPr>
        <w:pStyle w:val="ListParagraph"/>
        <w:numPr>
          <w:ilvl w:val="0"/>
          <w:numId w:val="4"/>
        </w:numPr>
        <w:spacing w:line="288" w:lineRule="auto"/>
        <w:rPr>
          <w:rFonts w:ascii="Garamond" w:hAnsi="Garamond"/>
          <w:b/>
          <w:bCs/>
        </w:rPr>
      </w:pPr>
      <w:r w:rsidRPr="00893A1D">
        <w:rPr>
          <w:rFonts w:ascii="Garamond" w:hAnsi="Garamond"/>
        </w:rPr>
        <w:t>Opportunities for Q&amp;A and reflection</w:t>
      </w:r>
    </w:p>
    <w:p w14:paraId="1ED2B1FD" w14:textId="14030643" w:rsidR="00512EEC" w:rsidRPr="00893A1D" w:rsidRDefault="00512EEC" w:rsidP="00CB7BCA">
      <w:pPr>
        <w:spacing w:line="288" w:lineRule="auto"/>
        <w:rPr>
          <w:rFonts w:ascii="Garamond" w:hAnsi="Garamond"/>
        </w:rPr>
      </w:pPr>
    </w:p>
    <w:p w14:paraId="68240F44" w14:textId="77777777" w:rsidR="00683B85" w:rsidRPr="00F16973" w:rsidRDefault="00683B85" w:rsidP="00CB7BCA">
      <w:pPr>
        <w:spacing w:line="288" w:lineRule="auto"/>
        <w:rPr>
          <w:rFonts w:ascii="Garamond" w:hAnsi="Garamond"/>
          <w:color w:val="009999"/>
        </w:rPr>
      </w:pPr>
    </w:p>
    <w:p w14:paraId="5313F987" w14:textId="323B76C1" w:rsidR="00512EEC" w:rsidRPr="00893A1D" w:rsidRDefault="00512EEC" w:rsidP="00CB7BCA">
      <w:pPr>
        <w:spacing w:line="288" w:lineRule="auto"/>
        <w:rPr>
          <w:rFonts w:ascii="Garamond" w:hAnsi="Garamond"/>
          <w:b/>
          <w:bCs/>
        </w:rPr>
      </w:pPr>
      <w:r w:rsidRPr="00F16973">
        <w:rPr>
          <w:rFonts w:ascii="Garamond" w:hAnsi="Garamond"/>
          <w:b/>
          <w:bCs/>
          <w:color w:val="009999"/>
        </w:rPr>
        <w:t>Module Four: Trauma and Attachment: working relationally</w:t>
      </w:r>
    </w:p>
    <w:p w14:paraId="2E478BC0" w14:textId="783A27F7" w:rsidR="00CB7BCA" w:rsidRPr="00893A1D" w:rsidRDefault="00CB7BCA" w:rsidP="00CB7BCA">
      <w:pPr>
        <w:spacing w:line="288" w:lineRule="auto"/>
        <w:rPr>
          <w:rFonts w:ascii="Garamond" w:hAnsi="Garamond"/>
        </w:rPr>
      </w:pPr>
    </w:p>
    <w:p w14:paraId="4334E64C" w14:textId="59429DAC" w:rsidR="00AB7DEF" w:rsidRPr="00893A1D" w:rsidRDefault="00AB7DEF" w:rsidP="00CB7BCA">
      <w:pPr>
        <w:spacing w:line="288" w:lineRule="auto"/>
        <w:rPr>
          <w:rFonts w:ascii="Garamond" w:hAnsi="Garamond"/>
          <w:b/>
          <w:bCs/>
        </w:rPr>
      </w:pPr>
      <w:r w:rsidRPr="00893A1D">
        <w:rPr>
          <w:rFonts w:ascii="Garamond" w:hAnsi="Garamond"/>
          <w:b/>
          <w:bCs/>
        </w:rPr>
        <w:t>Topics include the following:</w:t>
      </w:r>
    </w:p>
    <w:p w14:paraId="24F8239C" w14:textId="712657BF" w:rsidR="00AB7DEF" w:rsidRPr="00893A1D" w:rsidRDefault="00AB7DEF" w:rsidP="00AB7DEF">
      <w:pPr>
        <w:pStyle w:val="ListParagraph"/>
        <w:numPr>
          <w:ilvl w:val="0"/>
          <w:numId w:val="5"/>
        </w:numPr>
        <w:spacing w:line="288" w:lineRule="auto"/>
        <w:rPr>
          <w:rFonts w:ascii="Garamond" w:hAnsi="Garamond"/>
        </w:rPr>
      </w:pPr>
      <w:r w:rsidRPr="00893A1D">
        <w:rPr>
          <w:rFonts w:ascii="Garamond" w:hAnsi="Garamond"/>
        </w:rPr>
        <w:t>Introduction to attachment (Bowlby, Main, Ainsworth and the DMM model)</w:t>
      </w:r>
    </w:p>
    <w:p w14:paraId="470EBE01" w14:textId="0D4ED96F" w:rsidR="00AB7DEF" w:rsidRPr="00893A1D" w:rsidRDefault="00AB7DEF" w:rsidP="00AB7DEF">
      <w:pPr>
        <w:pStyle w:val="ListParagraph"/>
        <w:numPr>
          <w:ilvl w:val="0"/>
          <w:numId w:val="5"/>
        </w:numPr>
        <w:spacing w:line="288" w:lineRule="auto"/>
        <w:rPr>
          <w:rFonts w:ascii="Garamond" w:hAnsi="Garamond"/>
        </w:rPr>
      </w:pPr>
      <w:r w:rsidRPr="00893A1D">
        <w:rPr>
          <w:rFonts w:ascii="Garamond" w:hAnsi="Garamond"/>
        </w:rPr>
        <w:t>Attachment strategies as influenced by childhood trauma</w:t>
      </w:r>
    </w:p>
    <w:p w14:paraId="7EECBF84" w14:textId="6E19BDE8" w:rsidR="00AB7DEF" w:rsidRPr="00893A1D" w:rsidRDefault="00AB7DEF" w:rsidP="000D357A">
      <w:pPr>
        <w:pStyle w:val="ListParagraph"/>
        <w:numPr>
          <w:ilvl w:val="0"/>
          <w:numId w:val="5"/>
        </w:numPr>
        <w:spacing w:line="288" w:lineRule="auto"/>
        <w:rPr>
          <w:rFonts w:ascii="Garamond" w:hAnsi="Garamond"/>
        </w:rPr>
      </w:pPr>
      <w:r w:rsidRPr="00893A1D">
        <w:rPr>
          <w:rFonts w:ascii="Garamond" w:hAnsi="Garamond"/>
        </w:rPr>
        <w:t xml:space="preserve">Moving from behaviourally oriented to </w:t>
      </w:r>
      <w:proofErr w:type="gramStart"/>
      <w:r w:rsidRPr="00893A1D">
        <w:rPr>
          <w:rFonts w:ascii="Garamond" w:hAnsi="Garamond"/>
        </w:rPr>
        <w:t>relationally-focused</w:t>
      </w:r>
      <w:proofErr w:type="gramEnd"/>
      <w:r w:rsidRPr="00893A1D">
        <w:rPr>
          <w:rFonts w:ascii="Garamond" w:hAnsi="Garamond"/>
        </w:rPr>
        <w:t xml:space="preserve"> approaches</w:t>
      </w:r>
    </w:p>
    <w:p w14:paraId="6C975EF2" w14:textId="43053DD6" w:rsidR="00EB65DF" w:rsidRPr="00893A1D" w:rsidRDefault="00EB65DF" w:rsidP="000D357A">
      <w:pPr>
        <w:pStyle w:val="ListParagraph"/>
        <w:numPr>
          <w:ilvl w:val="0"/>
          <w:numId w:val="5"/>
        </w:numPr>
        <w:spacing w:line="288" w:lineRule="auto"/>
        <w:rPr>
          <w:rFonts w:ascii="Garamond" w:hAnsi="Garamond"/>
        </w:rPr>
      </w:pPr>
      <w:r w:rsidRPr="00893A1D">
        <w:rPr>
          <w:rFonts w:ascii="Garamond" w:hAnsi="Garamond"/>
        </w:rPr>
        <w:t>The importance of tuning into adult attachment strategies and the interplay with the child’s</w:t>
      </w:r>
    </w:p>
    <w:p w14:paraId="21D4E819" w14:textId="3EBAF4B5" w:rsidR="000D357A" w:rsidRPr="00893A1D" w:rsidRDefault="000D357A" w:rsidP="000D357A">
      <w:pPr>
        <w:pStyle w:val="ListParagraph"/>
        <w:numPr>
          <w:ilvl w:val="0"/>
          <w:numId w:val="5"/>
        </w:numPr>
        <w:spacing w:line="288" w:lineRule="auto"/>
        <w:rPr>
          <w:rFonts w:ascii="Garamond" w:hAnsi="Garamond"/>
        </w:rPr>
      </w:pPr>
      <w:r w:rsidRPr="00893A1D">
        <w:rPr>
          <w:rFonts w:ascii="Garamond" w:hAnsi="Garamond"/>
        </w:rPr>
        <w:t xml:space="preserve">What does </w:t>
      </w:r>
      <w:proofErr w:type="gramStart"/>
      <w:r w:rsidRPr="00893A1D">
        <w:rPr>
          <w:rFonts w:ascii="Garamond" w:hAnsi="Garamond"/>
        </w:rPr>
        <w:t>intervening</w:t>
      </w:r>
      <w:proofErr w:type="gramEnd"/>
      <w:r w:rsidRPr="00893A1D">
        <w:rPr>
          <w:rFonts w:ascii="Garamond" w:hAnsi="Garamond"/>
        </w:rPr>
        <w:t xml:space="preserve"> within relationships look like?</w:t>
      </w:r>
    </w:p>
    <w:p w14:paraId="254AABAE" w14:textId="0FA3BD12" w:rsidR="00F42439" w:rsidRPr="00893A1D" w:rsidRDefault="00F42439" w:rsidP="000D357A">
      <w:pPr>
        <w:pStyle w:val="ListParagraph"/>
        <w:numPr>
          <w:ilvl w:val="0"/>
          <w:numId w:val="5"/>
        </w:numPr>
        <w:spacing w:line="288" w:lineRule="auto"/>
        <w:rPr>
          <w:rFonts w:ascii="Garamond" w:hAnsi="Garamond"/>
        </w:rPr>
      </w:pPr>
      <w:r w:rsidRPr="00893A1D">
        <w:rPr>
          <w:rFonts w:ascii="Garamond" w:hAnsi="Garamond"/>
        </w:rPr>
        <w:t>Play, fun, connection and being ‘seen’</w:t>
      </w:r>
    </w:p>
    <w:p w14:paraId="5D3E30BD" w14:textId="6CA601FC" w:rsidR="00830DF0" w:rsidRPr="00893A1D" w:rsidRDefault="00830DF0" w:rsidP="00830DF0">
      <w:pPr>
        <w:pStyle w:val="ListParagraph"/>
        <w:numPr>
          <w:ilvl w:val="0"/>
          <w:numId w:val="5"/>
        </w:numPr>
        <w:spacing w:line="288" w:lineRule="auto"/>
        <w:rPr>
          <w:rFonts w:ascii="Garamond" w:hAnsi="Garamond"/>
        </w:rPr>
      </w:pPr>
      <w:r w:rsidRPr="00893A1D">
        <w:rPr>
          <w:rFonts w:ascii="Garamond" w:hAnsi="Garamond"/>
        </w:rPr>
        <w:t>What does it look like? Personalise the stories</w:t>
      </w:r>
    </w:p>
    <w:p w14:paraId="595BFDA7" w14:textId="4D08140E" w:rsidR="00EB65DF" w:rsidRPr="00893A1D" w:rsidRDefault="00EB65DF" w:rsidP="00EB65DF">
      <w:pPr>
        <w:pStyle w:val="ListParagraph"/>
        <w:numPr>
          <w:ilvl w:val="0"/>
          <w:numId w:val="5"/>
        </w:numPr>
        <w:spacing w:line="288" w:lineRule="auto"/>
        <w:rPr>
          <w:rFonts w:ascii="Garamond" w:hAnsi="Garamond"/>
          <w:b/>
          <w:bCs/>
        </w:rPr>
      </w:pPr>
      <w:r w:rsidRPr="00893A1D">
        <w:rPr>
          <w:rFonts w:ascii="Garamond" w:hAnsi="Garamond"/>
        </w:rPr>
        <w:t>Opportunities for Q&amp;A and reflection</w:t>
      </w:r>
    </w:p>
    <w:p w14:paraId="72D4E9DD" w14:textId="19B9F632" w:rsidR="00683B85" w:rsidRPr="00893A1D" w:rsidRDefault="00683B85" w:rsidP="00EB65DF">
      <w:pPr>
        <w:pStyle w:val="ListParagraph"/>
        <w:numPr>
          <w:ilvl w:val="0"/>
          <w:numId w:val="5"/>
        </w:numPr>
        <w:spacing w:line="288" w:lineRule="auto"/>
        <w:rPr>
          <w:rFonts w:ascii="Garamond" w:hAnsi="Garamond"/>
          <w:b/>
          <w:bCs/>
        </w:rPr>
      </w:pPr>
      <w:r w:rsidRPr="00893A1D">
        <w:rPr>
          <w:rFonts w:ascii="Garamond" w:hAnsi="Garamond"/>
        </w:rPr>
        <w:t>Case presentation</w:t>
      </w:r>
    </w:p>
    <w:p w14:paraId="7BA2F2BE" w14:textId="75B94E4D" w:rsidR="00683B85" w:rsidRPr="00893A1D" w:rsidRDefault="00683B85" w:rsidP="00EB65DF">
      <w:pPr>
        <w:pStyle w:val="ListParagraph"/>
        <w:numPr>
          <w:ilvl w:val="0"/>
          <w:numId w:val="5"/>
        </w:numPr>
        <w:spacing w:line="288" w:lineRule="auto"/>
        <w:rPr>
          <w:rFonts w:ascii="Garamond" w:hAnsi="Garamond"/>
          <w:b/>
          <w:bCs/>
        </w:rPr>
      </w:pPr>
      <w:r w:rsidRPr="00893A1D">
        <w:rPr>
          <w:rFonts w:ascii="Garamond" w:hAnsi="Garamond"/>
        </w:rPr>
        <w:t>Prescribed reading materials</w:t>
      </w:r>
    </w:p>
    <w:p w14:paraId="1A04A9AD" w14:textId="77777777" w:rsidR="000D357A" w:rsidRPr="00893A1D" w:rsidRDefault="000D357A" w:rsidP="000D357A">
      <w:pPr>
        <w:pStyle w:val="ListParagraph"/>
        <w:spacing w:line="288" w:lineRule="auto"/>
        <w:rPr>
          <w:rFonts w:ascii="Garamond" w:hAnsi="Garamond"/>
        </w:rPr>
      </w:pPr>
    </w:p>
    <w:p w14:paraId="6727817B" w14:textId="77777777" w:rsidR="00F42439" w:rsidRPr="00893A1D" w:rsidRDefault="00F42439" w:rsidP="00CB7BCA">
      <w:pPr>
        <w:spacing w:line="288" w:lineRule="auto"/>
        <w:rPr>
          <w:rFonts w:ascii="Garamond" w:hAnsi="Garamond"/>
        </w:rPr>
      </w:pPr>
    </w:p>
    <w:p w14:paraId="062674C1" w14:textId="0BCFF50C" w:rsidR="00683B85" w:rsidRPr="00F16973" w:rsidRDefault="00683B85" w:rsidP="00CB7BCA">
      <w:pPr>
        <w:spacing w:line="288" w:lineRule="auto"/>
        <w:rPr>
          <w:rFonts w:ascii="Garamond" w:hAnsi="Garamond"/>
          <w:b/>
          <w:bCs/>
          <w:color w:val="009999"/>
        </w:rPr>
      </w:pPr>
      <w:r w:rsidRPr="00F16973">
        <w:rPr>
          <w:rFonts w:ascii="Garamond" w:hAnsi="Garamond"/>
          <w:b/>
          <w:bCs/>
          <w:color w:val="009999"/>
        </w:rPr>
        <w:t>Module Five: Systemic influences on childhood trauma</w:t>
      </w:r>
    </w:p>
    <w:p w14:paraId="304DD996" w14:textId="77777777" w:rsidR="00683B85" w:rsidRPr="00893A1D" w:rsidRDefault="00683B85" w:rsidP="00CB7BCA">
      <w:pPr>
        <w:spacing w:line="288" w:lineRule="auto"/>
        <w:rPr>
          <w:rFonts w:ascii="Garamond" w:hAnsi="Garamond"/>
        </w:rPr>
      </w:pPr>
    </w:p>
    <w:p w14:paraId="01B8BF32" w14:textId="42F640FB" w:rsidR="00683B85" w:rsidRPr="00893A1D" w:rsidRDefault="00683B85" w:rsidP="00CB7BCA">
      <w:pPr>
        <w:spacing w:line="288" w:lineRule="auto"/>
        <w:rPr>
          <w:rFonts w:ascii="Garamond" w:hAnsi="Garamond"/>
        </w:rPr>
      </w:pPr>
      <w:r w:rsidRPr="00893A1D">
        <w:rPr>
          <w:rFonts w:ascii="Garamond" w:hAnsi="Garamond"/>
        </w:rPr>
        <w:t>Topics include the following:</w:t>
      </w:r>
    </w:p>
    <w:p w14:paraId="1BB086D4" w14:textId="65BDA148" w:rsidR="00683B85" w:rsidRPr="00893A1D" w:rsidRDefault="00683B85" w:rsidP="00683B85">
      <w:pPr>
        <w:pStyle w:val="ListParagraph"/>
        <w:numPr>
          <w:ilvl w:val="0"/>
          <w:numId w:val="8"/>
        </w:numPr>
        <w:spacing w:line="288" w:lineRule="auto"/>
        <w:rPr>
          <w:rFonts w:ascii="Garamond" w:hAnsi="Garamond"/>
        </w:rPr>
      </w:pPr>
      <w:r w:rsidRPr="00893A1D">
        <w:rPr>
          <w:rFonts w:ascii="Garamond" w:hAnsi="Garamond"/>
        </w:rPr>
        <w:t>Structural influences, including consideration of factors such as poverty and homelessness</w:t>
      </w:r>
    </w:p>
    <w:p w14:paraId="7AD1CDB8" w14:textId="338D0212" w:rsidR="00683B85" w:rsidRPr="00893A1D" w:rsidRDefault="00683B85" w:rsidP="00683B85">
      <w:pPr>
        <w:pStyle w:val="ListParagraph"/>
        <w:numPr>
          <w:ilvl w:val="0"/>
          <w:numId w:val="8"/>
        </w:numPr>
        <w:spacing w:line="288" w:lineRule="auto"/>
        <w:rPr>
          <w:rFonts w:ascii="Garamond" w:hAnsi="Garamond"/>
        </w:rPr>
      </w:pPr>
      <w:r w:rsidRPr="00893A1D">
        <w:rPr>
          <w:rFonts w:ascii="Garamond" w:hAnsi="Garamond"/>
        </w:rPr>
        <w:t>The role of advocacy</w:t>
      </w:r>
    </w:p>
    <w:p w14:paraId="5188BF99" w14:textId="4C5958A8" w:rsidR="00683B85" w:rsidRPr="00893A1D" w:rsidRDefault="00683B85" w:rsidP="00683B85">
      <w:pPr>
        <w:pStyle w:val="ListParagraph"/>
        <w:numPr>
          <w:ilvl w:val="0"/>
          <w:numId w:val="8"/>
        </w:numPr>
        <w:spacing w:line="288" w:lineRule="auto"/>
        <w:rPr>
          <w:rFonts w:ascii="Garamond" w:hAnsi="Garamond"/>
        </w:rPr>
      </w:pPr>
      <w:r w:rsidRPr="00893A1D">
        <w:rPr>
          <w:rFonts w:ascii="Garamond" w:hAnsi="Garamond"/>
        </w:rPr>
        <w:t>Power and privilege</w:t>
      </w:r>
    </w:p>
    <w:p w14:paraId="1CCDD048" w14:textId="2E95D073" w:rsidR="007E72C5" w:rsidRPr="00893A1D" w:rsidRDefault="007E72C5" w:rsidP="007E72C5">
      <w:pPr>
        <w:pStyle w:val="ListParagraph"/>
        <w:numPr>
          <w:ilvl w:val="0"/>
          <w:numId w:val="2"/>
        </w:numPr>
        <w:spacing w:line="288" w:lineRule="auto"/>
        <w:rPr>
          <w:rFonts w:ascii="Garamond" w:hAnsi="Garamond"/>
          <w:b/>
          <w:bCs/>
        </w:rPr>
      </w:pPr>
      <w:r w:rsidRPr="00893A1D">
        <w:rPr>
          <w:rFonts w:ascii="Garamond" w:hAnsi="Garamond"/>
        </w:rPr>
        <w:t>The importance of language in childhood trauma</w:t>
      </w:r>
    </w:p>
    <w:p w14:paraId="3B006C53" w14:textId="5B5D25D7" w:rsidR="00683B85" w:rsidRPr="00893A1D" w:rsidRDefault="00683B85" w:rsidP="007E72C5">
      <w:pPr>
        <w:pStyle w:val="ListParagraph"/>
        <w:numPr>
          <w:ilvl w:val="0"/>
          <w:numId w:val="2"/>
        </w:numPr>
        <w:spacing w:line="288" w:lineRule="auto"/>
        <w:rPr>
          <w:rFonts w:ascii="Garamond" w:hAnsi="Garamond"/>
          <w:b/>
          <w:bCs/>
        </w:rPr>
      </w:pPr>
      <w:r w:rsidRPr="00893A1D">
        <w:rPr>
          <w:rFonts w:ascii="Garamond" w:hAnsi="Garamond"/>
        </w:rPr>
        <w:t>Challenging dominant discourses</w:t>
      </w:r>
    </w:p>
    <w:p w14:paraId="49779A8C" w14:textId="339B81E4" w:rsidR="00683B85" w:rsidRPr="00893A1D" w:rsidRDefault="00683B85" w:rsidP="007E72C5">
      <w:pPr>
        <w:pStyle w:val="ListParagraph"/>
        <w:numPr>
          <w:ilvl w:val="0"/>
          <w:numId w:val="2"/>
        </w:numPr>
        <w:spacing w:line="288" w:lineRule="auto"/>
        <w:rPr>
          <w:rFonts w:ascii="Garamond" w:hAnsi="Garamond"/>
          <w:b/>
          <w:bCs/>
        </w:rPr>
      </w:pPr>
      <w:r w:rsidRPr="00893A1D">
        <w:rPr>
          <w:rFonts w:ascii="Garamond" w:hAnsi="Garamond"/>
        </w:rPr>
        <w:t>Writing reports with systemic influences in mind</w:t>
      </w:r>
    </w:p>
    <w:p w14:paraId="1F6AE516" w14:textId="77777777" w:rsidR="00683B85" w:rsidRPr="00893A1D" w:rsidRDefault="00683B85" w:rsidP="00683B85">
      <w:pPr>
        <w:pStyle w:val="ListParagraph"/>
        <w:numPr>
          <w:ilvl w:val="0"/>
          <w:numId w:val="2"/>
        </w:numPr>
        <w:spacing w:line="288" w:lineRule="auto"/>
        <w:rPr>
          <w:rFonts w:ascii="Garamond" w:hAnsi="Garamond"/>
          <w:b/>
          <w:bCs/>
        </w:rPr>
      </w:pPr>
      <w:r w:rsidRPr="00893A1D">
        <w:rPr>
          <w:rFonts w:ascii="Garamond" w:hAnsi="Garamond"/>
        </w:rPr>
        <w:t>Opportunities for Q&amp;A and reflection</w:t>
      </w:r>
    </w:p>
    <w:p w14:paraId="62E32FDE" w14:textId="77777777" w:rsidR="00683B85" w:rsidRPr="00893A1D" w:rsidRDefault="00683B85" w:rsidP="00683B85">
      <w:pPr>
        <w:pStyle w:val="ListParagraph"/>
        <w:numPr>
          <w:ilvl w:val="0"/>
          <w:numId w:val="2"/>
        </w:numPr>
        <w:spacing w:line="288" w:lineRule="auto"/>
        <w:rPr>
          <w:rFonts w:ascii="Garamond" w:hAnsi="Garamond"/>
          <w:b/>
          <w:bCs/>
        </w:rPr>
      </w:pPr>
      <w:r w:rsidRPr="00893A1D">
        <w:rPr>
          <w:rFonts w:ascii="Garamond" w:hAnsi="Garamond"/>
        </w:rPr>
        <w:t>Case presentation</w:t>
      </w:r>
    </w:p>
    <w:p w14:paraId="7C2149B0" w14:textId="6377D486" w:rsidR="007E72C5" w:rsidRPr="00893A1D" w:rsidRDefault="00683B85" w:rsidP="00683B85">
      <w:pPr>
        <w:pStyle w:val="ListParagraph"/>
        <w:numPr>
          <w:ilvl w:val="0"/>
          <w:numId w:val="2"/>
        </w:numPr>
        <w:spacing w:line="288" w:lineRule="auto"/>
        <w:rPr>
          <w:rFonts w:ascii="Garamond" w:hAnsi="Garamond"/>
          <w:b/>
          <w:bCs/>
        </w:rPr>
      </w:pPr>
      <w:r w:rsidRPr="00893A1D">
        <w:rPr>
          <w:rFonts w:ascii="Garamond" w:hAnsi="Garamond"/>
        </w:rPr>
        <w:t>Prescribed reading materials</w:t>
      </w:r>
    </w:p>
    <w:p w14:paraId="4E180550" w14:textId="77777777" w:rsidR="007E72C5" w:rsidRPr="00893A1D" w:rsidRDefault="007E72C5" w:rsidP="00CB7BCA">
      <w:pPr>
        <w:spacing w:line="288" w:lineRule="auto"/>
        <w:rPr>
          <w:rFonts w:ascii="Garamond" w:hAnsi="Garamond"/>
        </w:rPr>
      </w:pPr>
    </w:p>
    <w:p w14:paraId="6894D0F6" w14:textId="77777777" w:rsidR="007E72C5" w:rsidRPr="00893A1D" w:rsidRDefault="007E72C5" w:rsidP="00CB7BCA">
      <w:pPr>
        <w:spacing w:line="288" w:lineRule="auto"/>
        <w:rPr>
          <w:rFonts w:ascii="Garamond" w:hAnsi="Garamond"/>
        </w:rPr>
      </w:pPr>
    </w:p>
    <w:p w14:paraId="18C00276" w14:textId="05A64305" w:rsidR="00512EEC" w:rsidRPr="00F16973" w:rsidRDefault="00512EEC" w:rsidP="00CB7BCA">
      <w:pPr>
        <w:spacing w:line="288" w:lineRule="auto"/>
        <w:rPr>
          <w:rFonts w:ascii="Garamond" w:hAnsi="Garamond"/>
          <w:b/>
          <w:bCs/>
          <w:color w:val="009999"/>
        </w:rPr>
      </w:pPr>
      <w:r w:rsidRPr="00F16973">
        <w:rPr>
          <w:rFonts w:ascii="Garamond" w:hAnsi="Garamond"/>
          <w:b/>
          <w:bCs/>
          <w:color w:val="009999"/>
        </w:rPr>
        <w:t xml:space="preserve">Module </w:t>
      </w:r>
      <w:r w:rsidR="00683B85" w:rsidRPr="00F16973">
        <w:rPr>
          <w:rFonts w:ascii="Garamond" w:hAnsi="Garamond"/>
          <w:b/>
          <w:bCs/>
          <w:color w:val="009999"/>
        </w:rPr>
        <w:t>Six</w:t>
      </w:r>
      <w:r w:rsidRPr="00F16973">
        <w:rPr>
          <w:rFonts w:ascii="Garamond" w:hAnsi="Garamond"/>
          <w:b/>
          <w:bCs/>
          <w:color w:val="009999"/>
        </w:rPr>
        <w:t>: Childhood trauma and the adult support system</w:t>
      </w:r>
    </w:p>
    <w:p w14:paraId="4C90B0B3" w14:textId="65D79F43" w:rsidR="000D357A" w:rsidRPr="00893A1D" w:rsidRDefault="000D357A" w:rsidP="00CB7BCA">
      <w:pPr>
        <w:spacing w:line="288" w:lineRule="auto"/>
        <w:rPr>
          <w:rFonts w:ascii="Garamond" w:hAnsi="Garamond"/>
          <w:b/>
          <w:bCs/>
        </w:rPr>
      </w:pPr>
    </w:p>
    <w:p w14:paraId="1C05BE2F" w14:textId="3FEE05EC" w:rsidR="000D357A" w:rsidRPr="00893A1D" w:rsidRDefault="000D357A" w:rsidP="00CB7BCA">
      <w:pPr>
        <w:spacing w:line="288" w:lineRule="auto"/>
        <w:rPr>
          <w:rFonts w:ascii="Garamond" w:hAnsi="Garamond"/>
          <w:b/>
          <w:bCs/>
        </w:rPr>
      </w:pPr>
      <w:r w:rsidRPr="00893A1D">
        <w:rPr>
          <w:rFonts w:ascii="Garamond" w:hAnsi="Garamond"/>
          <w:b/>
          <w:bCs/>
        </w:rPr>
        <w:t>Topics include the following:</w:t>
      </w:r>
    </w:p>
    <w:p w14:paraId="1D8CC941" w14:textId="2B21C811" w:rsidR="00EB65DF" w:rsidRPr="00893A1D" w:rsidRDefault="00EA515A" w:rsidP="00EB65DF">
      <w:pPr>
        <w:pStyle w:val="ListParagraph"/>
        <w:numPr>
          <w:ilvl w:val="0"/>
          <w:numId w:val="6"/>
        </w:numPr>
        <w:spacing w:line="288" w:lineRule="auto"/>
        <w:rPr>
          <w:rFonts w:ascii="Garamond" w:hAnsi="Garamond"/>
        </w:rPr>
      </w:pPr>
      <w:r>
        <w:rPr>
          <w:rFonts w:ascii="Garamond" w:hAnsi="Garamond"/>
        </w:rPr>
        <w:t>Projective processes</w:t>
      </w:r>
    </w:p>
    <w:p w14:paraId="0B30A169" w14:textId="57FF1525" w:rsidR="00F42439" w:rsidRPr="00893A1D" w:rsidRDefault="00EA515A" w:rsidP="00EB65DF">
      <w:pPr>
        <w:pStyle w:val="ListParagraph"/>
        <w:numPr>
          <w:ilvl w:val="0"/>
          <w:numId w:val="6"/>
        </w:numPr>
        <w:spacing w:line="288" w:lineRule="auto"/>
        <w:rPr>
          <w:rFonts w:ascii="Garamond" w:hAnsi="Garamond"/>
        </w:rPr>
      </w:pPr>
      <w:r>
        <w:rPr>
          <w:rFonts w:ascii="Garamond" w:hAnsi="Garamond"/>
        </w:rPr>
        <w:lastRenderedPageBreak/>
        <w:t>Vicarious trauma</w:t>
      </w:r>
    </w:p>
    <w:p w14:paraId="4953E758" w14:textId="7CC8EF9E" w:rsidR="00EB65DF" w:rsidRPr="00893A1D" w:rsidRDefault="00EB65DF" w:rsidP="00EB65DF">
      <w:pPr>
        <w:pStyle w:val="ListParagraph"/>
        <w:numPr>
          <w:ilvl w:val="0"/>
          <w:numId w:val="6"/>
        </w:numPr>
        <w:spacing w:line="288" w:lineRule="auto"/>
        <w:rPr>
          <w:rFonts w:ascii="Garamond" w:hAnsi="Garamond"/>
        </w:rPr>
      </w:pPr>
      <w:r w:rsidRPr="00893A1D">
        <w:rPr>
          <w:rFonts w:ascii="Garamond" w:hAnsi="Garamond"/>
        </w:rPr>
        <w:t>Adult self-care and reflection</w:t>
      </w:r>
    </w:p>
    <w:p w14:paraId="7A1BAF41" w14:textId="614B82F1" w:rsidR="00EB65DF" w:rsidRPr="00893A1D" w:rsidRDefault="00EB65DF" w:rsidP="00EB65DF">
      <w:pPr>
        <w:pStyle w:val="ListParagraph"/>
        <w:numPr>
          <w:ilvl w:val="0"/>
          <w:numId w:val="6"/>
        </w:numPr>
        <w:spacing w:line="288" w:lineRule="auto"/>
        <w:rPr>
          <w:rFonts w:ascii="Garamond" w:hAnsi="Garamond"/>
        </w:rPr>
      </w:pPr>
      <w:r w:rsidRPr="00893A1D">
        <w:rPr>
          <w:rFonts w:ascii="Garamond" w:hAnsi="Garamond"/>
        </w:rPr>
        <w:t xml:space="preserve">Building a trauma sensitive culture </w:t>
      </w:r>
    </w:p>
    <w:p w14:paraId="28EB4E77" w14:textId="5597E1B6" w:rsidR="00F42439" w:rsidRPr="00893A1D" w:rsidRDefault="00F42439" w:rsidP="00EB65DF">
      <w:pPr>
        <w:pStyle w:val="ListParagraph"/>
        <w:numPr>
          <w:ilvl w:val="0"/>
          <w:numId w:val="6"/>
        </w:numPr>
        <w:spacing w:line="288" w:lineRule="auto"/>
        <w:rPr>
          <w:rFonts w:ascii="Garamond" w:hAnsi="Garamond"/>
        </w:rPr>
      </w:pPr>
      <w:r w:rsidRPr="00893A1D">
        <w:rPr>
          <w:rFonts w:ascii="Garamond" w:hAnsi="Garamond"/>
        </w:rPr>
        <w:t>Moving forward with trauma sensitive practice</w:t>
      </w:r>
    </w:p>
    <w:p w14:paraId="4B966EBE" w14:textId="32188745" w:rsidR="00F42439" w:rsidRPr="00893A1D" w:rsidRDefault="00F42439" w:rsidP="00EB65DF">
      <w:pPr>
        <w:pStyle w:val="ListParagraph"/>
        <w:numPr>
          <w:ilvl w:val="0"/>
          <w:numId w:val="6"/>
        </w:numPr>
        <w:spacing w:line="288" w:lineRule="auto"/>
        <w:rPr>
          <w:rFonts w:ascii="Garamond" w:hAnsi="Garamond"/>
        </w:rPr>
      </w:pPr>
      <w:r w:rsidRPr="00893A1D">
        <w:rPr>
          <w:rFonts w:ascii="Garamond" w:hAnsi="Garamond"/>
        </w:rPr>
        <w:t>Integrating learning into practice</w:t>
      </w:r>
    </w:p>
    <w:p w14:paraId="5AB7D9D6" w14:textId="7D9378C3" w:rsidR="00EB65DF" w:rsidRPr="00893A1D" w:rsidRDefault="00EB65DF" w:rsidP="00EB65DF">
      <w:pPr>
        <w:pStyle w:val="ListParagraph"/>
        <w:numPr>
          <w:ilvl w:val="0"/>
          <w:numId w:val="6"/>
        </w:numPr>
        <w:spacing w:line="288" w:lineRule="auto"/>
        <w:rPr>
          <w:rFonts w:ascii="Garamond" w:hAnsi="Garamond"/>
          <w:b/>
          <w:bCs/>
        </w:rPr>
      </w:pPr>
      <w:r w:rsidRPr="00893A1D">
        <w:rPr>
          <w:rFonts w:ascii="Garamond" w:hAnsi="Garamond"/>
        </w:rPr>
        <w:t>Opportunities for Q&amp;A and reflection</w:t>
      </w:r>
    </w:p>
    <w:p w14:paraId="17856197" w14:textId="77777777" w:rsidR="00683B85" w:rsidRPr="00893A1D" w:rsidRDefault="00683B85" w:rsidP="00683B85">
      <w:pPr>
        <w:pStyle w:val="ListParagraph"/>
        <w:numPr>
          <w:ilvl w:val="0"/>
          <w:numId w:val="6"/>
        </w:numPr>
        <w:spacing w:line="288" w:lineRule="auto"/>
        <w:rPr>
          <w:rFonts w:ascii="Garamond" w:hAnsi="Garamond"/>
          <w:b/>
          <w:bCs/>
        </w:rPr>
      </w:pPr>
      <w:r w:rsidRPr="00893A1D">
        <w:rPr>
          <w:rFonts w:ascii="Garamond" w:hAnsi="Garamond"/>
        </w:rPr>
        <w:t>Case presentation</w:t>
      </w:r>
    </w:p>
    <w:p w14:paraId="49D86173" w14:textId="77777777" w:rsidR="00893A1D" w:rsidRDefault="00683B85" w:rsidP="00893A1D">
      <w:pPr>
        <w:pStyle w:val="ListParagraph"/>
        <w:numPr>
          <w:ilvl w:val="0"/>
          <w:numId w:val="6"/>
        </w:numPr>
        <w:spacing w:line="288" w:lineRule="auto"/>
        <w:rPr>
          <w:rFonts w:ascii="Garamond" w:hAnsi="Garamond"/>
          <w:b/>
          <w:bCs/>
        </w:rPr>
      </w:pPr>
      <w:r w:rsidRPr="00893A1D">
        <w:rPr>
          <w:rFonts w:ascii="Garamond" w:hAnsi="Garamond"/>
        </w:rPr>
        <w:t>Prescribed reading materials</w:t>
      </w:r>
    </w:p>
    <w:p w14:paraId="093B6E9F" w14:textId="77777777" w:rsidR="00893A1D" w:rsidRDefault="00893A1D" w:rsidP="00893A1D">
      <w:pPr>
        <w:spacing w:line="288" w:lineRule="auto"/>
        <w:rPr>
          <w:rFonts w:ascii="Garamond" w:hAnsi="Garamond"/>
          <w:b/>
          <w:bCs/>
        </w:rPr>
      </w:pPr>
    </w:p>
    <w:p w14:paraId="18101EA2" w14:textId="32E38950" w:rsidR="00893A1D" w:rsidRDefault="00F16973" w:rsidP="00F16973">
      <w:pPr>
        <w:spacing w:line="288" w:lineRule="auto"/>
        <w:jc w:val="center"/>
        <w:rPr>
          <w:rFonts w:ascii="Garamond" w:hAnsi="Garamond"/>
          <w:b/>
          <w:bCs/>
        </w:rPr>
      </w:pPr>
      <w:r>
        <w:rPr>
          <w:rFonts w:ascii="Garamond" w:hAnsi="Garamond"/>
          <w:b/>
          <w:bCs/>
          <w:noProof/>
        </w:rPr>
        <w:drawing>
          <wp:inline distT="0" distB="0" distL="0" distR="0" wp14:anchorId="460B7324" wp14:editId="0BFA5D83">
            <wp:extent cx="2605515" cy="260985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5295" cy="2619647"/>
                    </a:xfrm>
                    <a:prstGeom prst="rect">
                      <a:avLst/>
                    </a:prstGeom>
                    <a:noFill/>
                    <a:ln>
                      <a:noFill/>
                    </a:ln>
                  </pic:spPr>
                </pic:pic>
              </a:graphicData>
            </a:graphic>
          </wp:inline>
        </w:drawing>
      </w:r>
    </w:p>
    <w:p w14:paraId="22D35848" w14:textId="77777777" w:rsidR="00893A1D" w:rsidRDefault="00893A1D" w:rsidP="00893A1D">
      <w:pPr>
        <w:spacing w:line="288" w:lineRule="auto"/>
        <w:rPr>
          <w:rFonts w:ascii="Garamond" w:hAnsi="Garamond"/>
          <w:b/>
          <w:bCs/>
        </w:rPr>
      </w:pPr>
    </w:p>
    <w:p w14:paraId="7DBF72AE" w14:textId="3D73E98B" w:rsidR="00453351" w:rsidRPr="00F16973" w:rsidRDefault="00453351" w:rsidP="00893A1D">
      <w:pPr>
        <w:spacing w:line="288" w:lineRule="auto"/>
        <w:rPr>
          <w:rFonts w:ascii="Garamond" w:hAnsi="Garamond"/>
          <w:b/>
          <w:bCs/>
          <w:color w:val="009999"/>
        </w:rPr>
      </w:pPr>
      <w:r w:rsidRPr="00F16973">
        <w:rPr>
          <w:rFonts w:ascii="Garamond" w:hAnsi="Garamond"/>
          <w:b/>
          <w:bCs/>
          <w:color w:val="009999"/>
        </w:rPr>
        <w:t>Introduction to Treehouse Practice</w:t>
      </w:r>
    </w:p>
    <w:p w14:paraId="321466CC" w14:textId="781D9D1F" w:rsidR="00453351" w:rsidRPr="00893A1D" w:rsidRDefault="00453351" w:rsidP="00CB7BCA">
      <w:pPr>
        <w:spacing w:line="288" w:lineRule="auto"/>
        <w:jc w:val="both"/>
        <w:rPr>
          <w:rFonts w:ascii="Garamond" w:hAnsi="Garamond"/>
        </w:rPr>
      </w:pPr>
      <w:r w:rsidRPr="00893A1D">
        <w:rPr>
          <w:rFonts w:ascii="Garamond" w:hAnsi="Garamond"/>
        </w:rPr>
        <w:t xml:space="preserve">Treehouse Practice is a specialised therapeutic service for young people who have experienced childhood trauma, and the adults in their lives. Treehouse Practice has an integrated multi-disciplinary team involving clinical psychology, child and family psychotherapy, therapeutic social work, clinical specialist occupational therapy and </w:t>
      </w:r>
      <w:r w:rsidR="00683B85" w:rsidRPr="00893A1D">
        <w:rPr>
          <w:rFonts w:ascii="Garamond" w:hAnsi="Garamond"/>
        </w:rPr>
        <w:t xml:space="preserve">clinical specialist </w:t>
      </w:r>
      <w:r w:rsidRPr="00893A1D">
        <w:rPr>
          <w:rFonts w:ascii="Garamond" w:hAnsi="Garamond"/>
        </w:rPr>
        <w:t>speech and language therapy.</w:t>
      </w:r>
      <w:r w:rsidR="00512EEC" w:rsidRPr="00893A1D">
        <w:rPr>
          <w:rFonts w:ascii="Garamond" w:hAnsi="Garamond"/>
        </w:rPr>
        <w:t xml:space="preserve"> All practitioners at Treehouse Practice have pursued specialised post-graduate training, including in sensory integration, attachment, </w:t>
      </w:r>
      <w:proofErr w:type="spellStart"/>
      <w:r w:rsidR="00A43193" w:rsidRPr="00893A1D">
        <w:rPr>
          <w:rFonts w:ascii="Garamond" w:hAnsi="Garamond"/>
        </w:rPr>
        <w:t>neurosequential</w:t>
      </w:r>
      <w:proofErr w:type="spellEnd"/>
      <w:r w:rsidR="00A43193" w:rsidRPr="00893A1D">
        <w:rPr>
          <w:rFonts w:ascii="Garamond" w:hAnsi="Garamond"/>
        </w:rPr>
        <w:t xml:space="preserve"> approach to therapeutics, </w:t>
      </w:r>
      <w:proofErr w:type="spellStart"/>
      <w:r w:rsidR="00A43193" w:rsidRPr="00893A1D">
        <w:rPr>
          <w:rFonts w:ascii="Garamond" w:hAnsi="Garamond"/>
        </w:rPr>
        <w:t>Theraplay</w:t>
      </w:r>
      <w:proofErr w:type="spellEnd"/>
      <w:r w:rsidR="00A43193" w:rsidRPr="00893A1D">
        <w:rPr>
          <w:rFonts w:ascii="Garamond" w:hAnsi="Garamond"/>
        </w:rPr>
        <w:t>, DDP and VIG.</w:t>
      </w:r>
      <w:r w:rsidRPr="00893A1D">
        <w:rPr>
          <w:rFonts w:ascii="Garamond" w:hAnsi="Garamond"/>
        </w:rPr>
        <w:t xml:space="preserve"> </w:t>
      </w:r>
      <w:r w:rsidR="00A43193" w:rsidRPr="00893A1D">
        <w:rPr>
          <w:rFonts w:ascii="Garamond" w:hAnsi="Garamond"/>
        </w:rPr>
        <w:t>T</w:t>
      </w:r>
      <w:r w:rsidRPr="00893A1D">
        <w:rPr>
          <w:rFonts w:ascii="Garamond" w:hAnsi="Garamond"/>
        </w:rPr>
        <w:t xml:space="preserve">herapeutic approaches are tailored to the unique </w:t>
      </w:r>
      <w:r w:rsidR="00512EEC" w:rsidRPr="00893A1D">
        <w:rPr>
          <w:rFonts w:ascii="Garamond" w:hAnsi="Garamond"/>
        </w:rPr>
        <w:t xml:space="preserve">strengths and needs of the child, informed by their </w:t>
      </w:r>
      <w:proofErr w:type="gramStart"/>
      <w:r w:rsidR="00512EEC" w:rsidRPr="00893A1D">
        <w:rPr>
          <w:rFonts w:ascii="Garamond" w:hAnsi="Garamond"/>
        </w:rPr>
        <w:t>particular story</w:t>
      </w:r>
      <w:proofErr w:type="gramEnd"/>
      <w:r w:rsidR="00512EEC" w:rsidRPr="00893A1D">
        <w:rPr>
          <w:rFonts w:ascii="Garamond" w:hAnsi="Garamond"/>
        </w:rPr>
        <w:t xml:space="preserve"> and set of experiences. Tailoring interventions according to the needs of the child is at the heart of clinical practice at Treehouse Practice. </w:t>
      </w:r>
      <w:r w:rsidR="00A43193" w:rsidRPr="00893A1D">
        <w:rPr>
          <w:rFonts w:ascii="Garamond" w:hAnsi="Garamond"/>
        </w:rPr>
        <w:t>Training inputs will be delivered across the multi-disciplinary team to allow for richness of experience.</w:t>
      </w:r>
    </w:p>
    <w:p w14:paraId="4E767B59" w14:textId="77777777" w:rsidR="00453351" w:rsidRPr="00893A1D" w:rsidRDefault="00453351" w:rsidP="00CB7BCA">
      <w:pPr>
        <w:spacing w:line="288" w:lineRule="auto"/>
        <w:rPr>
          <w:rFonts w:ascii="Garamond" w:hAnsi="Garamond"/>
        </w:rPr>
      </w:pPr>
    </w:p>
    <w:p w14:paraId="660ADB9A" w14:textId="18AAA91D" w:rsidR="00144005" w:rsidRPr="00893A1D" w:rsidRDefault="00144005" w:rsidP="00CB7BCA">
      <w:pPr>
        <w:spacing w:line="288" w:lineRule="auto"/>
        <w:rPr>
          <w:rFonts w:ascii="Garamond" w:hAnsi="Garamond"/>
          <w:b/>
          <w:bCs/>
        </w:rPr>
      </w:pPr>
      <w:r w:rsidRPr="00F16973">
        <w:rPr>
          <w:rFonts w:ascii="Garamond" w:hAnsi="Garamond"/>
          <w:b/>
          <w:bCs/>
          <w:color w:val="009999"/>
        </w:rPr>
        <w:t>Who can attend the training?</w:t>
      </w:r>
    </w:p>
    <w:p w14:paraId="7A311268" w14:textId="04EBB17C" w:rsidR="00EB65DF" w:rsidRPr="00893A1D" w:rsidRDefault="00144005" w:rsidP="00EB65DF">
      <w:pPr>
        <w:spacing w:line="288" w:lineRule="auto"/>
        <w:jc w:val="both"/>
        <w:rPr>
          <w:rFonts w:ascii="Garamond" w:hAnsi="Garamond"/>
        </w:rPr>
      </w:pPr>
      <w:r w:rsidRPr="00893A1D">
        <w:rPr>
          <w:rFonts w:ascii="Garamond" w:hAnsi="Garamond"/>
        </w:rPr>
        <w:t xml:space="preserve">The training is designed for any adult who works with young people exposed to childhood trauma. Professionals such as psychologists, social </w:t>
      </w:r>
      <w:r w:rsidR="00EB65DF" w:rsidRPr="00893A1D">
        <w:rPr>
          <w:rFonts w:ascii="Garamond" w:hAnsi="Garamond"/>
        </w:rPr>
        <w:t>workers, social care workers, occupational therapists, speech and language therapists, teachers, foster carers, residential home carers, youth workers and those working in the youth justice system will find this particularly helpful. The training is reflective and experiential, to allow attendees to embed learning into their everyday practice. Attendance numbers will be limited to allow for interaction within small-group sessions.</w:t>
      </w:r>
    </w:p>
    <w:p w14:paraId="2B7BFFF3" w14:textId="4406EED5" w:rsidR="00144005" w:rsidRPr="00F16973" w:rsidRDefault="00144005" w:rsidP="00CB7BCA">
      <w:pPr>
        <w:spacing w:line="288" w:lineRule="auto"/>
        <w:rPr>
          <w:rFonts w:ascii="Garamond" w:hAnsi="Garamond"/>
          <w:b/>
          <w:bCs/>
          <w:color w:val="009999"/>
        </w:rPr>
      </w:pPr>
      <w:r w:rsidRPr="00F16973">
        <w:rPr>
          <w:rFonts w:ascii="Garamond" w:hAnsi="Garamond"/>
          <w:b/>
          <w:bCs/>
          <w:color w:val="009999"/>
        </w:rPr>
        <w:lastRenderedPageBreak/>
        <w:t>How much does the training cost?</w:t>
      </w:r>
    </w:p>
    <w:p w14:paraId="5905458F" w14:textId="1B5244EB" w:rsidR="00144005" w:rsidRPr="00893A1D" w:rsidRDefault="000D08DB" w:rsidP="00EB65DF">
      <w:pPr>
        <w:spacing w:line="288" w:lineRule="auto"/>
        <w:jc w:val="both"/>
        <w:rPr>
          <w:rFonts w:ascii="Garamond" w:hAnsi="Garamond"/>
        </w:rPr>
      </w:pPr>
      <w:r w:rsidRPr="00893A1D">
        <w:rPr>
          <w:rFonts w:ascii="Garamond" w:hAnsi="Garamond"/>
        </w:rPr>
        <w:t>The first module is required for all attendees. This is available at</w:t>
      </w:r>
      <w:r w:rsidR="00A24D00" w:rsidRPr="00893A1D">
        <w:rPr>
          <w:rFonts w:ascii="Garamond" w:hAnsi="Garamond"/>
        </w:rPr>
        <w:t xml:space="preserve"> €185. Following this, modules 2-6 are charged </w:t>
      </w:r>
      <w:r w:rsidR="00144005" w:rsidRPr="00893A1D">
        <w:rPr>
          <w:rFonts w:ascii="Garamond" w:hAnsi="Garamond"/>
        </w:rPr>
        <w:t>€</w:t>
      </w:r>
      <w:r w:rsidR="00A24D00" w:rsidRPr="00893A1D">
        <w:rPr>
          <w:rFonts w:ascii="Garamond" w:hAnsi="Garamond"/>
        </w:rPr>
        <w:t xml:space="preserve">170 per module. The fee for all 6 modules is </w:t>
      </w:r>
      <w:r w:rsidR="00144005" w:rsidRPr="00893A1D">
        <w:rPr>
          <w:rFonts w:ascii="Garamond" w:hAnsi="Garamond"/>
        </w:rPr>
        <w:t>€</w:t>
      </w:r>
      <w:r w:rsidR="00A24D00" w:rsidRPr="00893A1D">
        <w:rPr>
          <w:rFonts w:ascii="Garamond" w:hAnsi="Garamond"/>
        </w:rPr>
        <w:t>950</w:t>
      </w:r>
      <w:r w:rsidR="00144005" w:rsidRPr="00893A1D">
        <w:rPr>
          <w:rFonts w:ascii="Garamond" w:hAnsi="Garamond"/>
        </w:rPr>
        <w:t>.</w:t>
      </w:r>
      <w:r w:rsidR="00453351" w:rsidRPr="00893A1D">
        <w:rPr>
          <w:rFonts w:ascii="Garamond" w:hAnsi="Garamond"/>
        </w:rPr>
        <w:t xml:space="preserve"> Discounts are available for whole teams looking to sign up; please contact </w:t>
      </w:r>
      <w:hyperlink r:id="rId13" w:history="1">
        <w:r w:rsidR="00307213" w:rsidRPr="000B419F">
          <w:rPr>
            <w:rStyle w:val="Hyperlink"/>
            <w:rFonts w:ascii="Garamond" w:hAnsi="Garamond"/>
          </w:rPr>
          <w:t>training@treehousepractice.ie</w:t>
        </w:r>
      </w:hyperlink>
      <w:r w:rsidR="00453351" w:rsidRPr="00893A1D">
        <w:rPr>
          <w:rFonts w:ascii="Garamond" w:hAnsi="Garamond"/>
        </w:rPr>
        <w:t xml:space="preserve"> for further details. </w:t>
      </w:r>
    </w:p>
    <w:p w14:paraId="7DE21D94" w14:textId="77777777" w:rsidR="00683B85" w:rsidRPr="00F16973" w:rsidRDefault="00683B85" w:rsidP="00EB65DF">
      <w:pPr>
        <w:spacing w:line="288" w:lineRule="auto"/>
        <w:jc w:val="both"/>
        <w:rPr>
          <w:rFonts w:ascii="Garamond" w:hAnsi="Garamond"/>
          <w:color w:val="009999"/>
        </w:rPr>
      </w:pPr>
    </w:p>
    <w:p w14:paraId="04FE9B8C" w14:textId="296B73F1" w:rsidR="00453351" w:rsidRPr="00F16973" w:rsidRDefault="00683B85" w:rsidP="00CB7BCA">
      <w:pPr>
        <w:spacing w:line="288" w:lineRule="auto"/>
        <w:rPr>
          <w:rFonts w:ascii="Garamond" w:hAnsi="Garamond"/>
          <w:b/>
          <w:bCs/>
          <w:color w:val="009999"/>
        </w:rPr>
      </w:pPr>
      <w:r w:rsidRPr="00F16973">
        <w:rPr>
          <w:rFonts w:ascii="Garamond" w:hAnsi="Garamond"/>
          <w:b/>
          <w:bCs/>
          <w:color w:val="009999"/>
        </w:rPr>
        <w:t>Is there a certificate and/or CPD points?</w:t>
      </w:r>
    </w:p>
    <w:p w14:paraId="6AD890D6" w14:textId="50BCCD3D" w:rsidR="00AB7DEF" w:rsidRPr="00893A1D" w:rsidRDefault="00453351" w:rsidP="00AB7DEF">
      <w:pPr>
        <w:spacing w:line="288" w:lineRule="auto"/>
        <w:jc w:val="both"/>
        <w:rPr>
          <w:rFonts w:ascii="Garamond" w:hAnsi="Garamond"/>
        </w:rPr>
      </w:pPr>
      <w:r w:rsidRPr="00893A1D">
        <w:rPr>
          <w:rFonts w:ascii="Garamond" w:hAnsi="Garamond"/>
        </w:rPr>
        <w:t>On completion of the training course</w:t>
      </w:r>
      <w:r w:rsidR="00EB65DF" w:rsidRPr="00893A1D">
        <w:rPr>
          <w:rFonts w:ascii="Garamond" w:hAnsi="Garamond"/>
        </w:rPr>
        <w:t>, a self-directed checklist</w:t>
      </w:r>
      <w:r w:rsidRPr="00893A1D">
        <w:rPr>
          <w:rFonts w:ascii="Garamond" w:hAnsi="Garamond"/>
        </w:rPr>
        <w:t xml:space="preserve"> and feedback a certificate of attendance will be provided, which attendees can use for CPD </w:t>
      </w:r>
      <w:r w:rsidR="00EB65DF" w:rsidRPr="00893A1D">
        <w:rPr>
          <w:rFonts w:ascii="Garamond" w:hAnsi="Garamond"/>
        </w:rPr>
        <w:t xml:space="preserve">purposes. </w:t>
      </w:r>
      <w:r w:rsidR="00683B85" w:rsidRPr="00893A1D">
        <w:rPr>
          <w:rFonts w:ascii="Garamond" w:hAnsi="Garamond"/>
        </w:rPr>
        <w:t xml:space="preserve">The course is registered for CPD points with the relevant professional bodies; please contact </w:t>
      </w:r>
      <w:r w:rsidR="00307213">
        <w:rPr>
          <w:rFonts w:ascii="Garamond" w:hAnsi="Garamond"/>
        </w:rPr>
        <w:t>Máire</w:t>
      </w:r>
      <w:r w:rsidR="00683B85" w:rsidRPr="00893A1D">
        <w:rPr>
          <w:rFonts w:ascii="Garamond" w:hAnsi="Garamond"/>
        </w:rPr>
        <w:t xml:space="preserve"> on </w:t>
      </w:r>
      <w:hyperlink r:id="rId14" w:history="1">
        <w:r w:rsidR="00307213" w:rsidRPr="000B419F">
          <w:rPr>
            <w:rStyle w:val="Hyperlink"/>
            <w:rFonts w:ascii="Garamond" w:hAnsi="Garamond"/>
          </w:rPr>
          <w:t>training@treehousepractice.ie</w:t>
        </w:r>
      </w:hyperlink>
      <w:r w:rsidR="00683B85" w:rsidRPr="00893A1D">
        <w:rPr>
          <w:rFonts w:ascii="Garamond" w:hAnsi="Garamond"/>
        </w:rPr>
        <w:t xml:space="preserve"> for details relevant to your profession.</w:t>
      </w:r>
    </w:p>
    <w:p w14:paraId="113945D9" w14:textId="77777777" w:rsidR="00AB7DEF" w:rsidRPr="00893A1D" w:rsidRDefault="00AB7DEF" w:rsidP="00AB7DEF">
      <w:pPr>
        <w:spacing w:line="288" w:lineRule="auto"/>
        <w:jc w:val="both"/>
        <w:rPr>
          <w:rFonts w:ascii="Garamond" w:hAnsi="Garamond"/>
        </w:rPr>
      </w:pPr>
    </w:p>
    <w:p w14:paraId="5D396315" w14:textId="77777777" w:rsidR="00AB7DEF" w:rsidRPr="00F16973" w:rsidRDefault="00AB7DEF" w:rsidP="00AB7DEF">
      <w:pPr>
        <w:spacing w:line="288" w:lineRule="auto"/>
        <w:jc w:val="both"/>
        <w:rPr>
          <w:rFonts w:ascii="Garamond" w:hAnsi="Garamond"/>
          <w:b/>
          <w:bCs/>
          <w:color w:val="009999"/>
        </w:rPr>
      </w:pPr>
      <w:r w:rsidRPr="00F16973">
        <w:rPr>
          <w:rFonts w:ascii="Garamond" w:hAnsi="Garamond"/>
          <w:b/>
          <w:bCs/>
          <w:color w:val="009999"/>
        </w:rPr>
        <w:t>What is the format of the training?</w:t>
      </w:r>
    </w:p>
    <w:p w14:paraId="7D9B00E1" w14:textId="5CF00F78" w:rsidR="00AB7DEF" w:rsidRPr="00893A1D" w:rsidRDefault="00AB7DEF" w:rsidP="00A24D00">
      <w:pPr>
        <w:spacing w:line="288" w:lineRule="auto"/>
        <w:jc w:val="both"/>
        <w:rPr>
          <w:rFonts w:ascii="Garamond" w:hAnsi="Garamond"/>
        </w:rPr>
      </w:pPr>
      <w:r w:rsidRPr="00893A1D">
        <w:rPr>
          <w:rFonts w:ascii="Garamond" w:hAnsi="Garamond"/>
        </w:rPr>
        <w:t xml:space="preserve">There are </w:t>
      </w:r>
      <w:r w:rsidR="00683B85" w:rsidRPr="00893A1D">
        <w:rPr>
          <w:rFonts w:ascii="Garamond" w:hAnsi="Garamond"/>
        </w:rPr>
        <w:t>6</w:t>
      </w:r>
      <w:r w:rsidRPr="00893A1D">
        <w:rPr>
          <w:rFonts w:ascii="Garamond" w:hAnsi="Garamond"/>
        </w:rPr>
        <w:t xml:space="preserve"> modules, each of which involves a combination of self-directed and in-person learning. Attendees are required to attend 2 one-hour sessions per month, with the remainder of the time (approximately </w:t>
      </w:r>
      <w:r w:rsidR="00683B85" w:rsidRPr="00893A1D">
        <w:rPr>
          <w:rFonts w:ascii="Garamond" w:hAnsi="Garamond"/>
        </w:rPr>
        <w:t>3-4</w:t>
      </w:r>
      <w:r w:rsidRPr="00893A1D">
        <w:rPr>
          <w:rFonts w:ascii="Garamond" w:hAnsi="Garamond"/>
        </w:rPr>
        <w:t xml:space="preserve"> hours per month) engaging in self-directed learning, with course materials provided to support this. </w:t>
      </w:r>
      <w:r w:rsidR="00683B85" w:rsidRPr="00893A1D">
        <w:rPr>
          <w:rFonts w:ascii="Garamond" w:hAnsi="Garamond"/>
        </w:rPr>
        <w:t xml:space="preserve">One of the training workshops can be watched separately, the other must be attended live. </w:t>
      </w:r>
      <w:r w:rsidR="00EB65DF" w:rsidRPr="00893A1D">
        <w:rPr>
          <w:rFonts w:ascii="Garamond" w:hAnsi="Garamond"/>
        </w:rPr>
        <w:t xml:space="preserve">Attendees </w:t>
      </w:r>
      <w:r w:rsidRPr="00893A1D">
        <w:rPr>
          <w:rFonts w:ascii="Garamond" w:hAnsi="Garamond"/>
        </w:rPr>
        <w:t xml:space="preserve">will be given a unique sign-in </w:t>
      </w:r>
      <w:r w:rsidR="00A24D00" w:rsidRPr="00893A1D">
        <w:rPr>
          <w:rFonts w:ascii="Garamond" w:hAnsi="Garamond"/>
        </w:rPr>
        <w:t>to allow access to training materials</w:t>
      </w:r>
      <w:r w:rsidRPr="00893A1D">
        <w:rPr>
          <w:rFonts w:ascii="Garamond" w:hAnsi="Garamond"/>
        </w:rPr>
        <w:t xml:space="preserve">. </w:t>
      </w:r>
    </w:p>
    <w:p w14:paraId="537013F2" w14:textId="77777777" w:rsidR="0098556C" w:rsidRDefault="0098556C" w:rsidP="00CB7BCA">
      <w:pPr>
        <w:spacing w:line="288" w:lineRule="auto"/>
      </w:pPr>
    </w:p>
    <w:p w14:paraId="35DF0012" w14:textId="04A1C381" w:rsidR="0098556C" w:rsidRPr="00183E20" w:rsidRDefault="0098556C" w:rsidP="00CB7BCA">
      <w:pPr>
        <w:spacing w:line="288" w:lineRule="auto"/>
        <w:rPr>
          <w:rFonts w:ascii="Garamond" w:hAnsi="Garamond"/>
          <w:b/>
          <w:bCs/>
        </w:rPr>
      </w:pPr>
    </w:p>
    <w:sectPr w:rsidR="0098556C" w:rsidRPr="00183E20" w:rsidSect="00211913">
      <w:pgSz w:w="11900" w:h="1682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459C6" w14:textId="77777777" w:rsidR="00CF322F" w:rsidRDefault="00CF322F" w:rsidP="00041448">
      <w:r>
        <w:separator/>
      </w:r>
    </w:p>
  </w:endnote>
  <w:endnote w:type="continuationSeparator" w:id="0">
    <w:p w14:paraId="1062037F" w14:textId="77777777" w:rsidR="00CF322F" w:rsidRDefault="00CF322F" w:rsidP="00041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venir Medium">
    <w:altName w:val="Calibri"/>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303C7" w14:textId="77777777" w:rsidR="00CF322F" w:rsidRDefault="00CF322F" w:rsidP="00041448">
      <w:r>
        <w:separator/>
      </w:r>
    </w:p>
  </w:footnote>
  <w:footnote w:type="continuationSeparator" w:id="0">
    <w:p w14:paraId="1A5D5A8B" w14:textId="77777777" w:rsidR="00CF322F" w:rsidRDefault="00CF322F" w:rsidP="00041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46D8B"/>
    <w:multiLevelType w:val="hybridMultilevel"/>
    <w:tmpl w:val="939C6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D7E56"/>
    <w:multiLevelType w:val="hybridMultilevel"/>
    <w:tmpl w:val="1D92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204BCE"/>
    <w:multiLevelType w:val="hybridMultilevel"/>
    <w:tmpl w:val="A5A08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5224B8"/>
    <w:multiLevelType w:val="hybridMultilevel"/>
    <w:tmpl w:val="D5444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BC46BC6"/>
    <w:multiLevelType w:val="hybridMultilevel"/>
    <w:tmpl w:val="CD609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916143"/>
    <w:multiLevelType w:val="hybridMultilevel"/>
    <w:tmpl w:val="0F6C01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2AE6EC6"/>
    <w:multiLevelType w:val="hybridMultilevel"/>
    <w:tmpl w:val="C6D2E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0BA4C75"/>
    <w:multiLevelType w:val="hybridMultilevel"/>
    <w:tmpl w:val="3802195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80998139">
    <w:abstractNumId w:val="2"/>
  </w:num>
  <w:num w:numId="2" w16cid:durableId="970285751">
    <w:abstractNumId w:val="3"/>
  </w:num>
  <w:num w:numId="3" w16cid:durableId="1548908898">
    <w:abstractNumId w:val="6"/>
  </w:num>
  <w:num w:numId="4" w16cid:durableId="632829279">
    <w:abstractNumId w:val="0"/>
  </w:num>
  <w:num w:numId="5" w16cid:durableId="424883228">
    <w:abstractNumId w:val="1"/>
  </w:num>
  <w:num w:numId="6" w16cid:durableId="70930001">
    <w:abstractNumId w:val="4"/>
  </w:num>
  <w:num w:numId="7" w16cid:durableId="2127236817">
    <w:abstractNumId w:val="7"/>
  </w:num>
  <w:num w:numId="8" w16cid:durableId="1189754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05"/>
    <w:rsid w:val="0002230B"/>
    <w:rsid w:val="00041448"/>
    <w:rsid w:val="000D08DB"/>
    <w:rsid w:val="000D357A"/>
    <w:rsid w:val="000F2845"/>
    <w:rsid w:val="000F57B4"/>
    <w:rsid w:val="00144005"/>
    <w:rsid w:val="00183E20"/>
    <w:rsid w:val="00211913"/>
    <w:rsid w:val="00240817"/>
    <w:rsid w:val="00294A9C"/>
    <w:rsid w:val="00307213"/>
    <w:rsid w:val="0033210A"/>
    <w:rsid w:val="00453351"/>
    <w:rsid w:val="004D42D2"/>
    <w:rsid w:val="00512EEC"/>
    <w:rsid w:val="005A042D"/>
    <w:rsid w:val="00645D9B"/>
    <w:rsid w:val="006539DE"/>
    <w:rsid w:val="00683B85"/>
    <w:rsid w:val="00687944"/>
    <w:rsid w:val="006E1FD6"/>
    <w:rsid w:val="00710D37"/>
    <w:rsid w:val="007A5F67"/>
    <w:rsid w:val="007E72C5"/>
    <w:rsid w:val="00830DF0"/>
    <w:rsid w:val="00893A1D"/>
    <w:rsid w:val="008C032E"/>
    <w:rsid w:val="00973847"/>
    <w:rsid w:val="0098556C"/>
    <w:rsid w:val="009C1F70"/>
    <w:rsid w:val="00A24D00"/>
    <w:rsid w:val="00A43193"/>
    <w:rsid w:val="00A719F3"/>
    <w:rsid w:val="00AB7DEF"/>
    <w:rsid w:val="00B0284A"/>
    <w:rsid w:val="00B920B1"/>
    <w:rsid w:val="00BA39E1"/>
    <w:rsid w:val="00C83E0E"/>
    <w:rsid w:val="00CA712E"/>
    <w:rsid w:val="00CB7BCA"/>
    <w:rsid w:val="00CC2C55"/>
    <w:rsid w:val="00CF322F"/>
    <w:rsid w:val="00D06F04"/>
    <w:rsid w:val="00D40CAE"/>
    <w:rsid w:val="00E679B4"/>
    <w:rsid w:val="00E76EDF"/>
    <w:rsid w:val="00EA515A"/>
    <w:rsid w:val="00EB126B"/>
    <w:rsid w:val="00EB65DF"/>
    <w:rsid w:val="00F16973"/>
    <w:rsid w:val="00F42439"/>
    <w:rsid w:val="00FF14C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450DA"/>
  <w15:chartTrackingRefBased/>
  <w15:docId w15:val="{64C0BEE2-9808-914E-A185-C521D48F0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3351"/>
    <w:rPr>
      <w:color w:val="0563C1" w:themeColor="hyperlink"/>
      <w:u w:val="single"/>
    </w:rPr>
  </w:style>
  <w:style w:type="character" w:styleId="UnresolvedMention">
    <w:name w:val="Unresolved Mention"/>
    <w:basedOn w:val="DefaultParagraphFont"/>
    <w:uiPriority w:val="99"/>
    <w:semiHidden/>
    <w:unhideWhenUsed/>
    <w:rsid w:val="00453351"/>
    <w:rPr>
      <w:color w:val="605E5C"/>
      <w:shd w:val="clear" w:color="auto" w:fill="E1DFDD"/>
    </w:rPr>
  </w:style>
  <w:style w:type="paragraph" w:styleId="ListParagraph">
    <w:name w:val="List Paragraph"/>
    <w:basedOn w:val="Normal"/>
    <w:uiPriority w:val="34"/>
    <w:qFormat/>
    <w:rsid w:val="006E1FD6"/>
    <w:pPr>
      <w:ind w:left="720"/>
      <w:contextualSpacing/>
    </w:pPr>
  </w:style>
  <w:style w:type="paragraph" w:styleId="Revision">
    <w:name w:val="Revision"/>
    <w:hidden/>
    <w:uiPriority w:val="99"/>
    <w:semiHidden/>
    <w:rsid w:val="00BA39E1"/>
  </w:style>
  <w:style w:type="character" w:styleId="CommentReference">
    <w:name w:val="annotation reference"/>
    <w:basedOn w:val="DefaultParagraphFont"/>
    <w:uiPriority w:val="99"/>
    <w:semiHidden/>
    <w:unhideWhenUsed/>
    <w:rsid w:val="00BA39E1"/>
    <w:rPr>
      <w:sz w:val="16"/>
      <w:szCs w:val="16"/>
    </w:rPr>
  </w:style>
  <w:style w:type="paragraph" w:styleId="CommentText">
    <w:name w:val="annotation text"/>
    <w:basedOn w:val="Normal"/>
    <w:link w:val="CommentTextChar"/>
    <w:uiPriority w:val="99"/>
    <w:unhideWhenUsed/>
    <w:rsid w:val="00BA39E1"/>
    <w:rPr>
      <w:sz w:val="20"/>
      <w:szCs w:val="20"/>
    </w:rPr>
  </w:style>
  <w:style w:type="character" w:customStyle="1" w:styleId="CommentTextChar">
    <w:name w:val="Comment Text Char"/>
    <w:basedOn w:val="DefaultParagraphFont"/>
    <w:link w:val="CommentText"/>
    <w:uiPriority w:val="99"/>
    <w:rsid w:val="00BA39E1"/>
    <w:rPr>
      <w:sz w:val="20"/>
      <w:szCs w:val="20"/>
    </w:rPr>
  </w:style>
  <w:style w:type="paragraph" w:styleId="CommentSubject">
    <w:name w:val="annotation subject"/>
    <w:basedOn w:val="CommentText"/>
    <w:next w:val="CommentText"/>
    <w:link w:val="CommentSubjectChar"/>
    <w:uiPriority w:val="99"/>
    <w:semiHidden/>
    <w:unhideWhenUsed/>
    <w:rsid w:val="00BA39E1"/>
    <w:rPr>
      <w:b/>
      <w:bCs/>
    </w:rPr>
  </w:style>
  <w:style w:type="character" w:customStyle="1" w:styleId="CommentSubjectChar">
    <w:name w:val="Comment Subject Char"/>
    <w:basedOn w:val="CommentTextChar"/>
    <w:link w:val="CommentSubject"/>
    <w:uiPriority w:val="99"/>
    <w:semiHidden/>
    <w:rsid w:val="00BA39E1"/>
    <w:rPr>
      <w:b/>
      <w:bCs/>
      <w:sz w:val="20"/>
      <w:szCs w:val="20"/>
    </w:rPr>
  </w:style>
  <w:style w:type="paragraph" w:styleId="Header">
    <w:name w:val="header"/>
    <w:basedOn w:val="Normal"/>
    <w:link w:val="HeaderChar"/>
    <w:uiPriority w:val="99"/>
    <w:unhideWhenUsed/>
    <w:rsid w:val="00041448"/>
    <w:pPr>
      <w:tabs>
        <w:tab w:val="center" w:pos="4513"/>
        <w:tab w:val="right" w:pos="9026"/>
      </w:tabs>
    </w:pPr>
  </w:style>
  <w:style w:type="character" w:customStyle="1" w:styleId="HeaderChar">
    <w:name w:val="Header Char"/>
    <w:basedOn w:val="DefaultParagraphFont"/>
    <w:link w:val="Header"/>
    <w:uiPriority w:val="99"/>
    <w:rsid w:val="00041448"/>
  </w:style>
  <w:style w:type="paragraph" w:styleId="Footer">
    <w:name w:val="footer"/>
    <w:basedOn w:val="Normal"/>
    <w:link w:val="FooterChar"/>
    <w:uiPriority w:val="99"/>
    <w:unhideWhenUsed/>
    <w:rsid w:val="00041448"/>
    <w:pPr>
      <w:tabs>
        <w:tab w:val="center" w:pos="4513"/>
        <w:tab w:val="right" w:pos="9026"/>
      </w:tabs>
    </w:pPr>
  </w:style>
  <w:style w:type="character" w:customStyle="1" w:styleId="FooterChar">
    <w:name w:val="Footer Char"/>
    <w:basedOn w:val="DefaultParagraphFont"/>
    <w:link w:val="Footer"/>
    <w:uiPriority w:val="99"/>
    <w:rsid w:val="000414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raining@treehousepractice.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training@treehousepractic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627134B1851947AEE33067509F4780" ma:contentTypeVersion="13" ma:contentTypeDescription="Create a new document." ma:contentTypeScope="" ma:versionID="377c0a44ec0378c6fa9fef6cb1b777d0">
  <xsd:schema xmlns:xsd="http://www.w3.org/2001/XMLSchema" xmlns:xs="http://www.w3.org/2001/XMLSchema" xmlns:p="http://schemas.microsoft.com/office/2006/metadata/properties" xmlns:ns2="b1c7a04c-2c92-4eb2-bc30-87467520e2b4" xmlns:ns3="2a476379-b94e-41f9-8779-1cdff51a0f36" targetNamespace="http://schemas.microsoft.com/office/2006/metadata/properties" ma:root="true" ma:fieldsID="45e461d880cbb24b88a38b9c966f991b" ns2:_="" ns3:_="">
    <xsd:import namespace="b1c7a04c-2c92-4eb2-bc30-87467520e2b4"/>
    <xsd:import namespace="2a476379-b94e-41f9-8779-1cdff51a0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7a04c-2c92-4eb2-bc30-87467520e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3375f28-e2e0-4c13-a609-ebb20cb048e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76379-b94e-41f9-8779-1cdff51a0f3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e0da007-da4f-4105-a691-3411941a4348}" ma:internalName="TaxCatchAll" ma:showField="CatchAllData" ma:web="2a476379-b94e-41f9-8779-1cdff51a0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476379-b94e-41f9-8779-1cdff51a0f36" xsi:nil="true"/>
    <lcf76f155ced4ddcb4097134ff3c332f xmlns="b1c7a04c-2c92-4eb2-bc30-87467520e2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47CB90E-3A74-4D3C-B001-7A69744BF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7a04c-2c92-4eb2-bc30-87467520e2b4"/>
    <ds:schemaRef ds:uri="2a476379-b94e-41f9-8779-1cdff51a0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84825-E3B6-4F1C-AC0D-8FAFC9EFCCF0}">
  <ds:schemaRefs>
    <ds:schemaRef ds:uri="http://schemas.microsoft.com/sharepoint/v3/contenttype/forms"/>
  </ds:schemaRefs>
</ds:datastoreItem>
</file>

<file path=customXml/itemProps3.xml><?xml version="1.0" encoding="utf-8"?>
<ds:datastoreItem xmlns:ds="http://schemas.openxmlformats.org/officeDocument/2006/customXml" ds:itemID="{F29A4AE5-4442-4A90-84A0-3E5BC754DD4B}">
  <ds:schemaRefs>
    <ds:schemaRef ds:uri="http://schemas.microsoft.com/office/2006/metadata/properties"/>
    <ds:schemaRef ds:uri="http://schemas.microsoft.com/office/infopath/2007/PartnerControls"/>
    <ds:schemaRef ds:uri="2a476379-b94e-41f9-8779-1cdff51a0f36"/>
    <ds:schemaRef ds:uri="b1c7a04c-2c92-4eb2-bc30-87467520e2b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O'Byrne</dc:creator>
  <cp:keywords/>
  <dc:description/>
  <cp:lastModifiedBy>Sara O'Byrne</cp:lastModifiedBy>
  <cp:revision>2</cp:revision>
  <cp:lastPrinted>2024-08-26T15:58:00Z</cp:lastPrinted>
  <dcterms:created xsi:type="dcterms:W3CDTF">2026-05-20T20:51:00Z</dcterms:created>
  <dcterms:modified xsi:type="dcterms:W3CDTF">2026-05-20T20:51:00Z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0x01010010627134B1851947AEE33067509F4780</vt:lpwstr>
  </property>
  <property fmtid="{D5CDD505-2E9C-101B-9397-08002B2CF9AE}" pid="3" name="Order">
    <vt:r8>813500</vt:r8>
  </property>
  <property fmtid="{D5CDD505-2E9C-101B-9397-08002B2CF9AE}" pid="4" name="MediaServiceImageTags">
    <vt:lpwstr/>
  </property>
</Properties>
</file>